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-233045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9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vMerge w:val="restart"/>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5254625</wp:posOffset>
            </wp:positionH>
            <wp:positionV relativeFrom="paragraph">
              <wp:posOffset>-621030</wp:posOffset>
            </wp:positionV>
            <wp:extent cx="57785" cy="6343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436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-621030</wp:posOffset>
            </wp:positionV>
            <wp:extent cx="5778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436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22225</wp:posOffset>
            </wp:positionV>
            <wp:extent cx="6994525" cy="50044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4525" cy="500443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240" w:space="340"/>
            <w:col w:w="8500"/>
          </w:cols>
          <w:pgMar w:left="460" w:top="217" w:right="359" w:bottom="1440" w:gutter="0" w:footer="0" w:header="0"/>
        </w:sectPr>
      </w:pPr>
    </w:p>
    <w:p>
      <w:pPr>
        <w:spacing w:after="0" w:line="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FELCHER, JR. MICHAEL C.</w:t>
        </w:r>
      </w:hyperlink>
    </w:p>
    <w:p>
      <w:pPr>
        <w:spacing w:after="0" w:line="298"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140" w:type="dxa"/>
            <w:vAlign w:val="bottom"/>
          </w:tcPr>
          <w:p>
            <w:pPr>
              <w:ind w:left="40"/>
              <w:spacing w:after="0"/>
              <w:rPr>
                <w:sz w:val="20"/>
                <w:szCs w:val="20"/>
                <w:color w:val="auto"/>
              </w:rPr>
            </w:pPr>
            <w:r>
              <w:rPr>
                <w:rFonts w:ascii="Arial" w:cs="Arial" w:eastAsia="Arial" w:hAnsi="Arial"/>
                <w:sz w:val="13"/>
                <w:szCs w:val="13"/>
                <w:color w:val="auto"/>
              </w:rPr>
              <w:t>(Last)</w:t>
            </w:r>
          </w:p>
        </w:tc>
        <w:tc>
          <w:tcPr>
            <w:tcW w:w="1140" w:type="dxa"/>
            <w:vAlign w:val="bottom"/>
          </w:tcPr>
          <w:p>
            <w:pPr>
              <w:ind w:left="120"/>
              <w:spacing w:after="0"/>
              <w:rPr>
                <w:sz w:val="20"/>
                <w:szCs w:val="20"/>
                <w:color w:val="auto"/>
              </w:rPr>
            </w:pPr>
            <w:r>
              <w:rPr>
                <w:rFonts w:ascii="Arial" w:cs="Arial" w:eastAsia="Arial" w:hAnsi="Arial"/>
                <w:sz w:val="13"/>
                <w:szCs w:val="13"/>
                <w:color w:val="auto"/>
              </w:rPr>
              <w:t>(First)</w:t>
            </w:r>
          </w:p>
        </w:tc>
        <w:tc>
          <w:tcPr>
            <w:tcW w:w="660" w:type="dxa"/>
            <w:vAlign w:val="bottom"/>
          </w:tcPr>
          <w:p>
            <w:pPr>
              <w:ind w:left="200"/>
              <w:spacing w:after="0"/>
              <w:rPr>
                <w:sz w:val="20"/>
                <w:szCs w:val="20"/>
                <w:color w:val="auto"/>
              </w:rPr>
            </w:pPr>
            <w:r>
              <w:rPr>
                <w:rFonts w:ascii="Arial" w:cs="Arial" w:eastAsia="Arial" w:hAnsi="Arial"/>
                <w:sz w:val="13"/>
                <w:szCs w:val="13"/>
                <w:color w:val="auto"/>
                <w:w w:val="93"/>
              </w:rPr>
              <w:t>(Middle)</w:t>
            </w:r>
          </w:p>
        </w:tc>
      </w:tr>
      <w:tr>
        <w:trPr>
          <w:trHeight w:val="266"/>
        </w:trPr>
        <w:tc>
          <w:tcPr>
            <w:tcW w:w="22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6210 ARDREY KELL ROAD</w:t>
            </w:r>
          </w:p>
        </w:tc>
        <w:tc>
          <w:tcPr>
            <w:tcW w:w="660" w:type="dxa"/>
            <w:vAlign w:val="bottom"/>
          </w:tcPr>
          <w:p>
            <w:pPr>
              <w:spacing w:after="0"/>
              <w:rPr>
                <w:sz w:val="23"/>
                <w:szCs w:val="23"/>
                <w:color w:val="auto"/>
              </w:rPr>
            </w:pPr>
          </w:p>
        </w:tc>
      </w:tr>
      <w:tr>
        <w:trPr>
          <w:trHeight w:val="476"/>
        </w:trPr>
        <w:tc>
          <w:tcPr>
            <w:tcW w:w="1140" w:type="dxa"/>
            <w:vAlign w:val="bottom"/>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27"/>
        </w:trPr>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CHARLOTTE</w:t>
            </w:r>
          </w:p>
        </w:tc>
        <w:tc>
          <w:tcPr>
            <w:tcW w:w="11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NC</w:t>
            </w:r>
          </w:p>
        </w:tc>
        <w:tc>
          <w:tcPr>
            <w:tcW w:w="6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28277</w:t>
            </w:r>
          </w:p>
        </w:tc>
      </w:tr>
      <w:tr>
        <w:trPr>
          <w:trHeight w:val="463"/>
        </w:trPr>
        <w:tc>
          <w:tcPr>
            <w:tcW w:w="1140" w:type="dxa"/>
            <w:vAlign w:val="bottom"/>
          </w:tcPr>
          <w:p>
            <w:pPr>
              <w:ind w:left="40"/>
              <w:spacing w:after="0"/>
              <w:rPr>
                <w:sz w:val="20"/>
                <w:szCs w:val="20"/>
                <w:color w:val="auto"/>
              </w:rPr>
            </w:pPr>
            <w:r>
              <w:rPr>
                <w:rFonts w:ascii="Arial" w:cs="Arial" w:eastAsia="Arial" w:hAnsi="Arial"/>
                <w:sz w:val="13"/>
                <w:szCs w:val="13"/>
                <w:color w:val="auto"/>
              </w:rPr>
              <w:t>(City)</w:t>
            </w:r>
          </w:p>
        </w:tc>
        <w:tc>
          <w:tcPr>
            <w:tcW w:w="1140" w:type="dxa"/>
            <w:vAlign w:val="bottom"/>
          </w:tcPr>
          <w:p>
            <w:pPr>
              <w:ind w:left="120"/>
              <w:spacing w:after="0"/>
              <w:rPr>
                <w:sz w:val="20"/>
                <w:szCs w:val="20"/>
                <w:color w:val="auto"/>
              </w:rPr>
            </w:pPr>
            <w:r>
              <w:rPr>
                <w:rFonts w:ascii="Arial" w:cs="Arial" w:eastAsia="Arial" w:hAnsi="Arial"/>
                <w:sz w:val="13"/>
                <w:szCs w:val="13"/>
                <w:color w:val="auto"/>
              </w:rPr>
              <w:t>(State)</w:t>
            </w:r>
          </w:p>
        </w:tc>
        <w:tc>
          <w:tcPr>
            <w:tcW w:w="660" w:type="dxa"/>
            <w:vAlign w:val="bottom"/>
          </w:tcPr>
          <w:p>
            <w:pPr>
              <w:ind w:left="2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20" w:type="dxa"/>
            <w:vAlign w:val="bottom"/>
            <w:gridSpan w:val="4"/>
          </w:tcPr>
          <w:p>
            <w:pPr>
              <w:ind w:left="60"/>
              <w:spacing w:after="0" w:line="141"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NN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NNBR</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6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580" w:type="dxa"/>
            <w:vAlign w:val="bottom"/>
            <w:tcBorders>
              <w:bottom w:val="single" w:sz="8" w:color="0000EE"/>
            </w:tcBorders>
          </w:tcPr>
          <w:p>
            <w:pPr>
              <w:spacing w:after="0"/>
              <w:rPr>
                <w:sz w:val="3"/>
                <w:szCs w:val="3"/>
                <w:color w:val="auto"/>
              </w:rPr>
            </w:pPr>
          </w:p>
        </w:tc>
        <w:tc>
          <w:tcPr>
            <w:tcW w:w="3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06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7"/>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18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1360" w:type="dxa"/>
            <w:vAlign w:val="bottom"/>
          </w:tcPr>
          <w:p>
            <w:pPr>
              <w:ind w:left="120"/>
              <w:spacing w:after="0" w:line="121"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6"/>
        </w:trPr>
        <w:tc>
          <w:tcPr>
            <w:tcW w:w="38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03/19/2024</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SVP, Chief Financial Officer</w:t>
            </w:r>
          </w:p>
        </w:tc>
        <w:tc>
          <w:tcPr>
            <w:tcW w:w="0" w:type="dxa"/>
            <w:vAlign w:val="bottom"/>
          </w:tcPr>
          <w:p>
            <w:pPr>
              <w:spacing w:after="0"/>
              <w:rPr>
                <w:sz w:val="1"/>
                <w:szCs w:val="1"/>
                <w:color w:val="auto"/>
              </w:rPr>
            </w:pPr>
          </w:p>
        </w:tc>
      </w:tr>
      <w:tr>
        <w:trPr>
          <w:trHeight w:val="72"/>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6"/>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0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100"/>
        <w:spacing w:after="0" w:line="227"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2"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9" w:lineRule="exact"/>
        <w:rPr>
          <w:sz w:val="24"/>
          <w:szCs w:val="24"/>
          <w:color w:val="auto"/>
        </w:rPr>
      </w:pPr>
    </w:p>
    <w:p>
      <w:pPr>
        <w:ind w:left="320" w:right="340"/>
        <w:spacing w:after="0" w:line="24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120" w:space="72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w w:val="96"/>
              </w:rPr>
              <w:t>2A. Deemed</w:t>
            </w:r>
          </w:p>
        </w:tc>
        <w:tc>
          <w:tcPr>
            <w:tcW w:w="280" w:type="dxa"/>
            <w:vAlign w:val="bottom"/>
          </w:tcPr>
          <w:p>
            <w:pPr>
              <w:spacing w:after="0"/>
              <w:rPr>
                <w:sz w:val="13"/>
                <w:szCs w:val="13"/>
                <w:color w:val="auto"/>
              </w:rPr>
            </w:pP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680"/>
              <w:spacing w:after="0" w:line="127"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2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4"/>
              </w:rPr>
              <w:t>Transaction</w:t>
            </w:r>
          </w:p>
        </w:tc>
        <w:tc>
          <w:tcPr>
            <w:tcW w:w="1860" w:type="dxa"/>
            <w:vAlign w:val="bottom"/>
            <w:gridSpan w:val="3"/>
          </w:tcPr>
          <w:p>
            <w:pPr>
              <w:ind w:left="100"/>
              <w:spacing w:after="0" w:line="127" w:lineRule="exact"/>
              <w:rPr>
                <w:sz w:val="20"/>
                <w:szCs w:val="20"/>
                <w:color w:val="auto"/>
              </w:rPr>
            </w:pPr>
            <w:r>
              <w:rPr>
                <w:rFonts w:ascii="Arial" w:cs="Arial" w:eastAsia="Arial" w:hAnsi="Arial"/>
                <w:sz w:val="12"/>
                <w:szCs w:val="12"/>
                <w:b w:val="1"/>
                <w:bCs w:val="1"/>
                <w:color w:val="auto"/>
                <w:w w:val="99"/>
              </w:rPr>
              <w:t>Disposed Of (D) (Instr. 3, 4 and</w:t>
            </w:r>
          </w:p>
        </w:tc>
        <w:tc>
          <w:tcPr>
            <w:tcW w:w="120" w:type="dxa"/>
            <w:vAlign w:val="bottom"/>
          </w:tcPr>
          <w:p>
            <w:pPr>
              <w:spacing w:after="0"/>
              <w:rPr>
                <w:sz w:val="11"/>
                <w:szCs w:val="11"/>
                <w:color w:val="auto"/>
              </w:rPr>
            </w:pPr>
          </w:p>
        </w:tc>
        <w:tc>
          <w:tcPr>
            <w:tcW w:w="62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00" w:type="dxa"/>
            <w:vAlign w:val="bottom"/>
            <w:gridSpan w:val="2"/>
          </w:tcPr>
          <w:p>
            <w:pPr>
              <w:ind w:left="680"/>
              <w:spacing w:after="0" w:line="128"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Code (Instr.</w:t>
            </w:r>
          </w:p>
        </w:tc>
        <w:tc>
          <w:tcPr>
            <w:tcW w:w="7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20"/>
              <w:spacing w:after="0" w:line="128"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jc w:val="right"/>
              <w:ind w:right="96"/>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2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17"/>
                <w:szCs w:val="17"/>
                <w:color w:val="0000FF"/>
              </w:rPr>
              <w:t>03/19/2024</w:t>
            </w: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w w:val="98"/>
              </w:rPr>
              <w:t>26,892</w:t>
            </w:r>
          </w:p>
        </w:tc>
        <w:tc>
          <w:tcPr>
            <w:tcW w:w="6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5.02</w:t>
            </w:r>
          </w:p>
        </w:tc>
        <w:tc>
          <w:tcPr>
            <w:tcW w:w="132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209,730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60" w:type="dxa"/>
            <w:vAlign w:val="bottom"/>
            <w:tcBorders>
              <w:top w:val="single" w:sz="8" w:color="2C2C2C"/>
            </w:tcBorders>
            <w:gridSpan w:val="13"/>
          </w:tcPr>
          <w:p>
            <w:pPr>
              <w:ind w:left="9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360" w:type="dxa"/>
            <w:vAlign w:val="bottom"/>
            <w:gridSpan w:val="10"/>
          </w:tcPr>
          <w:p>
            <w:pPr>
              <w:jc w:val="right"/>
              <w:ind w:right="9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48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6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03/19/2024</w:t>
            </w:r>
          </w:p>
        </w:tc>
        <w:tc>
          <w:tcPr>
            <w:tcW w:w="1080" w:type="dxa"/>
            <w:vAlign w:val="bottom"/>
          </w:tcPr>
          <w:p>
            <w:pPr>
              <w:spacing w:after="0"/>
              <w:rPr>
                <w:sz w:val="20"/>
                <w:szCs w:val="20"/>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20"/>
                <w:szCs w:val="20"/>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53,784</w:t>
            </w:r>
          </w:p>
        </w:tc>
        <w:tc>
          <w:tcPr>
            <w:tcW w:w="280" w:type="dxa"/>
            <w:vAlign w:val="bottom"/>
          </w:tcPr>
          <w:p>
            <w:pPr>
              <w:spacing w:after="0"/>
              <w:rPr>
                <w:sz w:val="20"/>
                <w:szCs w:val="20"/>
                <w:color w:val="auto"/>
              </w:rPr>
            </w:pP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(3)</w:t>
            </w: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53,784</w:t>
            </w:r>
          </w:p>
        </w:tc>
        <w:tc>
          <w:tcPr>
            <w:tcW w:w="74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89"/>
              </w:rPr>
              <w:t>53,784</w:t>
            </w:r>
          </w:p>
        </w:tc>
        <w:tc>
          <w:tcPr>
            <w:tcW w:w="280" w:type="dxa"/>
            <w:vAlign w:val="bottom"/>
          </w:tcPr>
          <w:p>
            <w:pPr>
              <w:spacing w:after="0"/>
              <w:rPr>
                <w:sz w:val="20"/>
                <w:szCs w:val="20"/>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2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8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-1904365</wp:posOffset>
            </wp:positionV>
            <wp:extent cx="29210" cy="1910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191008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restricted stock and vest in three equal annual installments beginning on March 19, 2025.</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performance right represents a contingent right to receive one share of common stock of NN, Inc. (the "Issuer").</w:t>
      </w:r>
    </w:p>
    <w:p>
      <w:pPr>
        <w:spacing w:after="0" w:line="42" w:lineRule="exact"/>
        <w:rPr>
          <w:rFonts w:ascii="Times New Roman" w:cs="Times New Roman" w:eastAsia="Times New Roman" w:hAnsi="Times New Roman"/>
          <w:sz w:val="13"/>
          <w:szCs w:val="13"/>
          <w:color w:val="008000"/>
        </w:rPr>
      </w:pPr>
    </w:p>
    <w:p>
      <w:pPr>
        <w:ind w:left="40" w:right="140" w:firstLine="1"/>
        <w:spacing w:after="0" w:line="239"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performance rights will vest pursuant to the terms and subject to the conditions set forth in the Issuer's 2022 Omnibus Incentive Plan and the applicable Performance Share Unit Award Agreement based on the relative total shareholder return ("TSR") of the Issuer, as compared to the TSR of a custom subset of the S&amp;P SmallCap 600 Index over the period beginning on January 1, 2024 and ending December 31, 2026. The performance rights granted represent the right to receive the target shares, and actual performance rights earned may be between 25% and 150% of the target shares.</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Michael C. Felcher</w:t>
            </w: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w w:val="92"/>
              </w:rPr>
              <w:t>03/21/2024</w:t>
            </w:r>
          </w:p>
        </w:tc>
      </w:tr>
      <w:tr>
        <w:trPr>
          <w:trHeight w:val="20"/>
        </w:trPr>
        <w:tc>
          <w:tcPr>
            <w:tcW w:w="14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5"/>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33"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7919" TargetMode="External"/><Relationship Id="rId13"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2024-03-21T15:56:18Z</dcterms:created>
  <dcterms:modified xsi:type="dcterms:W3CDTF">2024-03-21T15:56:18Z</dcterms:modified>
</cp:coreProperties>
</file>