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662940</wp:posOffset>
            </wp:positionH>
            <wp:positionV relativeFrom="page">
              <wp:posOffset>390525</wp:posOffset>
            </wp:positionV>
            <wp:extent cx="724535" cy="717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24535" cy="717550"/>
                    </a:xfrm>
                    <a:prstGeom prst="rect">
                      <a:avLst/>
                    </a:prstGeom>
                    <a:noFill/>
                  </pic:spPr>
                </pic:pic>
              </a:graphicData>
            </a:graphic>
          </wp:anchor>
        </w:drawing>
        <w:t>NN, Inc.</w:t>
      </w:r>
    </w:p>
    <w:p>
      <w:pPr>
        <w:spacing w:after="0" w:line="13"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Corporate Office</w:t>
      </w:r>
    </w:p>
    <w:p>
      <w:pPr>
        <w:ind w:left="2860"/>
        <w:spacing w:after="0" w:line="235" w:lineRule="auto"/>
        <w:rPr>
          <w:sz w:val="20"/>
          <w:szCs w:val="20"/>
          <w:color w:val="auto"/>
        </w:rPr>
      </w:pPr>
      <w:r>
        <w:rPr>
          <w:rFonts w:ascii="Arial" w:cs="Arial" w:eastAsia="Arial" w:hAnsi="Arial"/>
          <w:sz w:val="18"/>
          <w:szCs w:val="18"/>
          <w:u w:val="single" w:color="auto"/>
          <w:color w:val="auto"/>
        </w:rPr>
        <w:t>www.nnbr.com</w:t>
      </w:r>
    </w:p>
    <w:p>
      <w:pPr>
        <w:ind w:left="2860"/>
        <w:spacing w:after="0" w:line="236" w:lineRule="auto"/>
        <w:rPr>
          <w:sz w:val="20"/>
          <w:szCs w:val="20"/>
          <w:color w:val="auto"/>
        </w:rPr>
      </w:pPr>
      <w:r>
        <w:rPr>
          <w:rFonts w:ascii="Arial" w:cs="Arial" w:eastAsia="Arial" w:hAnsi="Arial"/>
          <w:sz w:val="18"/>
          <w:szCs w:val="18"/>
          <w:color w:val="auto"/>
        </w:rPr>
        <w:t>2000 Waters Edge Drive • Building C, Suite 12 • Johnson City, TN 37604</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423-743-9151 • fax 423-743-2670</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5"/>
          <w:szCs w:val="15"/>
          <w:color w:val="auto"/>
        </w:rPr>
        <w:t>April 17, 2006</w:t>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auto"/>
        </w:rPr>
        <w:t>Dear Shareholder:</w:t>
      </w:r>
    </w:p>
    <w:p>
      <w:pPr>
        <w:spacing w:after="0" w:line="234"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You are cordially invited to attend the 2006 Annual Meeting of NN, Inc., which will be held on May 18, 2006, at 10:00 a.m., local time, at the Renaissance Charleston Hotel, 68 Wentworth Street, Charleston, South Carolina, 29401.</w:t>
      </w:r>
    </w:p>
    <w:p>
      <w:pPr>
        <w:spacing w:after="0" w:line="191" w:lineRule="exact"/>
        <w:rPr>
          <w:sz w:val="24"/>
          <w:szCs w:val="24"/>
          <w:color w:val="auto"/>
        </w:rPr>
      </w:pPr>
    </w:p>
    <w:p>
      <w:pPr>
        <w:ind w:right="440"/>
        <w:spacing w:after="0" w:line="276" w:lineRule="auto"/>
        <w:rPr>
          <w:sz w:val="20"/>
          <w:szCs w:val="20"/>
          <w:color w:val="auto"/>
        </w:rPr>
      </w:pPr>
      <w:r>
        <w:rPr>
          <w:rFonts w:ascii="Arial" w:cs="Arial" w:eastAsia="Arial" w:hAnsi="Arial"/>
          <w:sz w:val="15"/>
          <w:szCs w:val="15"/>
          <w:color w:val="auto"/>
        </w:rPr>
        <w:t>The business to be conducted at the Annual Meeting is described in the attached Notice of Meeting and Proxy Statement. You are urged to read the Proxy Statement carefully before completing the enclosed proxy card.</w:t>
      </w:r>
    </w:p>
    <w:p>
      <w:pPr>
        <w:spacing w:after="0" w:line="191" w:lineRule="exact"/>
        <w:rPr>
          <w:sz w:val="24"/>
          <w:szCs w:val="24"/>
          <w:color w:val="auto"/>
        </w:rPr>
      </w:pPr>
    </w:p>
    <w:p>
      <w:pPr>
        <w:spacing w:after="0" w:line="355" w:lineRule="auto"/>
        <w:rPr>
          <w:sz w:val="20"/>
          <w:szCs w:val="20"/>
          <w:color w:val="auto"/>
        </w:rPr>
      </w:pPr>
      <w:r>
        <w:rPr>
          <w:rFonts w:ascii="Arial" w:cs="Arial" w:eastAsia="Arial" w:hAnsi="Arial"/>
          <w:sz w:val="13"/>
          <w:szCs w:val="13"/>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color w:val="auto"/>
        </w:rPr>
        <w:t>Sincerely,</w:t>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u w:val="single" w:color="auto"/>
          <w:color w:val="auto"/>
        </w:rPr>
        <w:t>/s/ Roderick R. Baty</w:t>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auto"/>
        </w:rPr>
        <w:t>Roderick R. Baty</w:t>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347980</wp:posOffset>
            </wp:positionV>
            <wp:extent cx="7274560"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20"/>
          </w:cols>
          <w:pgMar w:left="240" w:top="648"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t>NN, Inc.</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2000 Waters Edge Drive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Johnson City, TN 37604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NOTICE OF ANNUAL MEETING OF SHAREHOLDERS</w:t>
      </w:r>
    </w:p>
    <w:p>
      <w:pPr>
        <w:spacing w:after="0" w:line="200" w:lineRule="exact"/>
        <w:rPr>
          <w:sz w:val="20"/>
          <w:szCs w:val="20"/>
          <w:color w:val="auto"/>
        </w:rPr>
      </w:pPr>
    </w:p>
    <w:p>
      <w:pPr>
        <w:spacing w:after="0" w:line="260"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Notice is hereby given that the Annual Meeting of Shareholders of NN, Inc., a Delaware corporation, will be held on May 18, 2006, at 10:00 a.m., local time, at the Renaissance Charleston Hotel, 68 Wentworth Street, Charleston, South Carolina, 29401, for the following purposes:</w:t>
      </w:r>
    </w:p>
    <w:p>
      <w:pPr>
        <w:spacing w:after="0" w:line="191" w:lineRule="exact"/>
        <w:rPr>
          <w:sz w:val="20"/>
          <w:szCs w:val="20"/>
          <w:color w:val="auto"/>
        </w:rPr>
      </w:pPr>
    </w:p>
    <w:p>
      <w:pPr>
        <w:ind w:left="1080" w:hanging="256"/>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elect two Class II directors, to serve for a term of three years;</w:t>
      </w:r>
    </w:p>
    <w:p>
      <w:pPr>
        <w:spacing w:after="0" w:line="17" w:lineRule="exact"/>
        <w:rPr>
          <w:rFonts w:ascii="Arial" w:cs="Arial" w:eastAsia="Arial" w:hAnsi="Arial"/>
          <w:sz w:val="15"/>
          <w:szCs w:val="15"/>
          <w:color w:val="auto"/>
        </w:rPr>
      </w:pPr>
    </w:p>
    <w:p>
      <w:pPr>
        <w:ind w:left="1080" w:hanging="256"/>
        <w:spacing w:after="0"/>
        <w:tabs>
          <w:tab w:leader="none" w:pos="10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ratify the selection of PricewaterhouseCoopers LLP as the Company’s registered independent public accounting firm for the fiscal year ending December 31, 2006; and</w:t>
      </w:r>
    </w:p>
    <w:p>
      <w:pPr>
        <w:spacing w:after="0" w:line="247" w:lineRule="exact"/>
        <w:rPr>
          <w:rFonts w:ascii="Arial" w:cs="Arial" w:eastAsia="Arial" w:hAnsi="Arial"/>
          <w:sz w:val="13"/>
          <w:szCs w:val="13"/>
          <w:color w:val="auto"/>
        </w:rPr>
      </w:pPr>
    </w:p>
    <w:p>
      <w:pPr>
        <w:ind w:left="1080" w:hanging="256"/>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conduct such other business as properly may come before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RECOMMENDS A VOTE FOR THESE PROPOSALS.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Details regarding these matters are contained in the accompanying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Holders of record of Common Stock at the close of business on March 31, 2006, are entitled to notice of and to vote at the Annual Meeting.</w:t>
      </w:r>
    </w:p>
    <w:p>
      <w:pPr>
        <w:spacing w:after="0" w:line="234" w:lineRule="exact"/>
        <w:rPr>
          <w:sz w:val="20"/>
          <w:szCs w:val="20"/>
          <w:color w:val="auto"/>
        </w:rPr>
      </w:pPr>
    </w:p>
    <w:p>
      <w:pPr>
        <w:ind w:right="500"/>
        <w:spacing w:after="0" w:line="276" w:lineRule="auto"/>
        <w:rPr>
          <w:sz w:val="20"/>
          <w:szCs w:val="20"/>
          <w:color w:val="auto"/>
        </w:rPr>
      </w:pPr>
      <w:r>
        <w:rPr>
          <w:rFonts w:ascii="Arial" w:cs="Arial" w:eastAsia="Arial" w:hAnsi="Arial"/>
          <w:sz w:val="15"/>
          <w:szCs w:val="15"/>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William C. Kelly, Jr.</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William C. Kelly, Jr.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Secretary, and Chief Administrative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Johnson City, Tennessee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April 17, 2006</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27456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NN,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2006 ANNUAL MEETING OF SHAREHOLDERS</w:t>
      </w:r>
    </w:p>
    <w:p>
      <w:pPr>
        <w:spacing w:after="0" w:line="238" w:lineRule="exact"/>
        <w:rPr>
          <w:sz w:val="20"/>
          <w:szCs w:val="20"/>
          <w:color w:val="auto"/>
        </w:rPr>
      </w:pPr>
    </w:p>
    <w:p>
      <w:pPr>
        <w:ind w:right="60" w:firstLine="542"/>
        <w:spacing w:after="0" w:line="312" w:lineRule="auto"/>
        <w:rPr>
          <w:sz w:val="20"/>
          <w:szCs w:val="20"/>
          <w:color w:val="auto"/>
        </w:rPr>
      </w:pPr>
      <w:r>
        <w:rPr>
          <w:rFonts w:ascii="Arial" w:cs="Arial" w:eastAsia="Arial" w:hAnsi="Arial"/>
          <w:sz w:val="13"/>
          <w:szCs w:val="13"/>
          <w:color w:val="auto"/>
        </w:rPr>
        <w:t xml:space="preserve">Proxies are being solicited by the Board of Directors of NN, Inc. (the "Company"), in connection with the annual meeting of shareholders to be held on May 18, 2006 at the </w:t>
      </w:r>
      <w:r>
        <w:rPr>
          <w:rFonts w:ascii="Arial" w:cs="Arial" w:eastAsia="Arial" w:hAnsi="Arial"/>
          <w:sz w:val="13"/>
          <w:szCs w:val="13"/>
          <w:b w:val="1"/>
          <w:bCs w:val="1"/>
          <w:color w:val="auto"/>
        </w:rPr>
        <w:t xml:space="preserve">Renaissance Charleston Hotel, 68 Wentworth Street, Charleston, South Carolina, 29401 </w:t>
      </w:r>
      <w:r>
        <w:rPr>
          <w:rFonts w:ascii="Arial" w:cs="Arial" w:eastAsia="Arial" w:hAnsi="Arial"/>
          <w:sz w:val="13"/>
          <w:szCs w:val="13"/>
          <w:color w:val="auto"/>
        </w:rPr>
        <w:t>(the "Annual Meeting"), for the purpose of considering and acting upon the matters set forth in</w:t>
      </w:r>
      <w:r>
        <w:rPr>
          <w:rFonts w:ascii="Arial" w:cs="Arial" w:eastAsia="Arial" w:hAnsi="Arial"/>
          <w:sz w:val="13"/>
          <w:szCs w:val="13"/>
          <w:b w:val="1"/>
          <w:bCs w:val="1"/>
          <w:color w:val="auto"/>
        </w:rPr>
        <w:t xml:space="preserve"> </w:t>
      </w:r>
      <w:r>
        <w:rPr>
          <w:rFonts w:ascii="Arial" w:cs="Arial" w:eastAsia="Arial" w:hAnsi="Arial"/>
          <w:sz w:val="13"/>
          <w:szCs w:val="13"/>
          <w:color w:val="auto"/>
        </w:rPr>
        <w:t>the foregoing Notice of Annual Meeting of Shareholders (the "Notice"). Shareholders of record of the Company's common stock, par value $0.01 per share ("Common Stock"), as of the close of business on March 31, 2006, will be entitled to vote at the meeting. On March 31, 2006 (the "Record Date"), 17,197,598 shares of Common Stock were issued and outstanding.</w:t>
      </w:r>
    </w:p>
    <w:p>
      <w:pPr>
        <w:spacing w:after="0" w:line="172" w:lineRule="exact"/>
        <w:rPr>
          <w:sz w:val="20"/>
          <w:szCs w:val="20"/>
          <w:color w:val="auto"/>
        </w:rPr>
      </w:pPr>
    </w:p>
    <w:p>
      <w:pPr>
        <w:ind w:right="40" w:firstLine="542"/>
        <w:spacing w:after="0" w:line="263" w:lineRule="auto"/>
        <w:rPr>
          <w:sz w:val="20"/>
          <w:szCs w:val="20"/>
          <w:color w:val="auto"/>
        </w:rPr>
      </w:pPr>
      <w:r>
        <w:rPr>
          <w:rFonts w:ascii="Arial" w:cs="Arial" w:eastAsia="Arial" w:hAnsi="Arial"/>
          <w:sz w:val="15"/>
          <w:szCs w:val="15"/>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201" w:lineRule="exact"/>
        <w:rPr>
          <w:sz w:val="20"/>
          <w:szCs w:val="20"/>
          <w:color w:val="auto"/>
        </w:rPr>
      </w:pPr>
    </w:p>
    <w:p>
      <w:pPr>
        <w:ind w:right="280" w:firstLine="542"/>
        <w:spacing w:after="0" w:line="276" w:lineRule="auto"/>
        <w:rPr>
          <w:sz w:val="20"/>
          <w:szCs w:val="20"/>
          <w:color w:val="auto"/>
        </w:rPr>
      </w:pPr>
      <w:r>
        <w:rPr>
          <w:rFonts w:ascii="Arial" w:cs="Arial" w:eastAsia="Arial" w:hAnsi="Arial"/>
          <w:sz w:val="15"/>
          <w:szCs w:val="15"/>
          <w:color w:val="auto"/>
        </w:rPr>
        <w:t>The mailing address of the Company's executive office is 2000 Waters Edge Drive, Johnson City, Tennessee 37604. This Proxy Statement and the form of proxy were mailed to shareholders on or about April 17, 2006.</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Quorum; Proxies</w:t>
      </w:r>
    </w:p>
    <w:p>
      <w:pPr>
        <w:spacing w:after="0" w:line="238" w:lineRule="exact"/>
        <w:rPr>
          <w:sz w:val="20"/>
          <w:szCs w:val="20"/>
          <w:color w:val="auto"/>
        </w:rPr>
      </w:pPr>
    </w:p>
    <w:p>
      <w:pPr>
        <w:ind w:right="20" w:firstLine="542"/>
        <w:spacing w:after="0" w:line="263" w:lineRule="auto"/>
        <w:rPr>
          <w:sz w:val="20"/>
          <w:szCs w:val="20"/>
          <w:color w:val="auto"/>
        </w:rPr>
      </w:pPr>
      <w:r>
        <w:rPr>
          <w:rFonts w:ascii="Arial" w:cs="Arial" w:eastAsia="Arial" w:hAnsi="Arial"/>
          <w:sz w:val="15"/>
          <w:szCs w:val="15"/>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201" w:lineRule="exact"/>
        <w:rPr>
          <w:sz w:val="20"/>
          <w:szCs w:val="20"/>
          <w:color w:val="auto"/>
        </w:rPr>
      </w:pPr>
    </w:p>
    <w:p>
      <w:pPr>
        <w:ind w:right="220" w:firstLine="542"/>
        <w:spacing w:after="0" w:line="263" w:lineRule="auto"/>
        <w:rPr>
          <w:sz w:val="20"/>
          <w:szCs w:val="20"/>
          <w:color w:val="auto"/>
        </w:rPr>
      </w:pPr>
      <w:r>
        <w:rPr>
          <w:rFonts w:ascii="Arial" w:cs="Arial" w:eastAsia="Arial" w:hAnsi="Arial"/>
          <w:sz w:val="15"/>
          <w:szCs w:val="15"/>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PricewaterhouseCoopers LLP to serve as the Company's registered independent public accounting firm for 2006.</w:t>
      </w:r>
    </w:p>
    <w:p>
      <w:pPr>
        <w:spacing w:after="0" w:line="201" w:lineRule="exact"/>
        <w:rPr>
          <w:sz w:val="20"/>
          <w:szCs w:val="20"/>
          <w:color w:val="auto"/>
        </w:rPr>
      </w:pPr>
    </w:p>
    <w:p>
      <w:pPr>
        <w:ind w:right="240" w:firstLine="542"/>
        <w:spacing w:after="0" w:line="263" w:lineRule="auto"/>
        <w:rPr>
          <w:sz w:val="20"/>
          <w:szCs w:val="20"/>
          <w:color w:val="auto"/>
        </w:rPr>
      </w:pPr>
      <w:r>
        <w:rPr>
          <w:rFonts w:ascii="Arial" w:cs="Arial" w:eastAsia="Arial" w:hAnsi="Arial"/>
          <w:sz w:val="15"/>
          <w:szCs w:val="15"/>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201" w:lineRule="exact"/>
        <w:rPr>
          <w:sz w:val="20"/>
          <w:szCs w:val="20"/>
          <w:color w:val="auto"/>
        </w:rPr>
      </w:pPr>
    </w:p>
    <w:p>
      <w:pPr>
        <w:ind w:right="220" w:firstLine="542"/>
        <w:spacing w:after="0" w:line="276" w:lineRule="auto"/>
        <w:rPr>
          <w:sz w:val="20"/>
          <w:szCs w:val="20"/>
          <w:color w:val="auto"/>
        </w:rPr>
      </w:pPr>
      <w:r>
        <w:rPr>
          <w:rFonts w:ascii="Arial" w:cs="Arial" w:eastAsia="Arial" w:hAnsi="Arial"/>
          <w:sz w:val="15"/>
          <w:szCs w:val="15"/>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Required Vote</w:t>
      </w:r>
    </w:p>
    <w:p>
      <w:pPr>
        <w:spacing w:after="0" w:line="272"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 xml:space="preserve">Proposal I: </w:t>
      </w:r>
      <w:r>
        <w:rPr>
          <w:rFonts w:ascii="Arial" w:cs="Arial" w:eastAsia="Arial" w:hAnsi="Arial"/>
          <w:sz w:val="15"/>
          <w:szCs w:val="15"/>
          <w:i w:val="1"/>
          <w:iCs w:val="1"/>
          <w:color w:val="auto"/>
        </w:rPr>
        <w:t>Election of Directors.</w:t>
      </w:r>
      <w:r>
        <w:rPr>
          <w:rFonts w:ascii="Arial" w:cs="Arial" w:eastAsia="Arial" w:hAnsi="Arial"/>
          <w:sz w:val="15"/>
          <w:szCs w:val="15"/>
          <w:color w:val="auto"/>
        </w:rPr>
        <w:t xml:space="preserve"> Directors are elected by a plurality vote and the nominee who receives the most votes will be elected. Abstentions and broker non-votes will not be taken into account in determining the outcome of the election.</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 xml:space="preserve">Proposal II: </w:t>
      </w:r>
      <w:r>
        <w:rPr>
          <w:rFonts w:ascii="Arial" w:cs="Arial" w:eastAsia="Arial" w:hAnsi="Arial"/>
          <w:sz w:val="15"/>
          <w:szCs w:val="15"/>
          <w:i w:val="1"/>
          <w:iCs w:val="1"/>
          <w:color w:val="auto"/>
        </w:rPr>
        <w:t>Ratification of Registered Independent Public Accounting Firm.</w:t>
      </w:r>
      <w:r>
        <w:rPr>
          <w:rFonts w:ascii="Arial" w:cs="Arial" w:eastAsia="Arial" w:hAnsi="Arial"/>
          <w:sz w:val="15"/>
          <w:szCs w:val="15"/>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not be considered present and will not be entitled to vote on non-routine items and will have no impact on the vote for this proposal.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PROPOSAL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ELECTION OF DIRECTORS</w:t>
      </w:r>
    </w:p>
    <w:p>
      <w:pPr>
        <w:spacing w:after="0" w:line="225" w:lineRule="exact"/>
        <w:rPr>
          <w:sz w:val="20"/>
          <w:szCs w:val="20"/>
          <w:color w:val="auto"/>
        </w:rPr>
      </w:pPr>
    </w:p>
    <w:p>
      <w:pPr>
        <w:ind w:firstLine="542"/>
        <w:spacing w:after="0" w:line="263" w:lineRule="auto"/>
        <w:rPr>
          <w:sz w:val="20"/>
          <w:szCs w:val="20"/>
          <w:color w:val="auto"/>
        </w:rPr>
      </w:pPr>
      <w:r>
        <w:rPr>
          <w:rFonts w:ascii="Arial" w:cs="Arial" w:eastAsia="Arial" w:hAnsi="Arial"/>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Nominees</w:t>
      </w:r>
    </w:p>
    <w:p>
      <w:pPr>
        <w:spacing w:after="0" w:line="238" w:lineRule="exact"/>
        <w:rPr>
          <w:sz w:val="20"/>
          <w:szCs w:val="20"/>
          <w:color w:val="auto"/>
        </w:rPr>
      </w:pPr>
    </w:p>
    <w:p>
      <w:pPr>
        <w:ind w:right="80" w:firstLine="542"/>
        <w:spacing w:after="0" w:line="291" w:lineRule="auto"/>
        <w:rPr>
          <w:sz w:val="20"/>
          <w:szCs w:val="20"/>
          <w:color w:val="auto"/>
        </w:rPr>
      </w:pPr>
      <w:r>
        <w:rPr>
          <w:rFonts w:ascii="Arial" w:cs="Arial" w:eastAsia="Arial" w:hAnsi="Arial"/>
          <w:sz w:val="14"/>
          <w:szCs w:val="14"/>
          <w:color w:val="auto"/>
        </w:rPr>
        <w:t>Two Class II directors will be elected to the Board of Directors at the Annual Meeting. The Company has nominated for election Roderick R. Baty and Robert M. Aiken, Jr., each a current director of the Company. The nominees have both indicated a willingness to continue to serve as directors if elected, but if either of them should decline or be unable to serve, the persons named as proxies intend to vote all shares in favor of the election of such other persons who may be nominated as replacements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A VOTE “FOR” THIS PROPOSAL</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353695</wp:posOffset>
            </wp:positionV>
            <wp:extent cx="728853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853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RATIFICATION OF SELECTION OF REGISTERED INDEPENDENT PUBLIC ACCOUNTING FIRM</w:t>
      </w:r>
    </w:p>
    <w:p>
      <w:pPr>
        <w:spacing w:after="0" w:line="225" w:lineRule="exact"/>
        <w:rPr>
          <w:sz w:val="20"/>
          <w:szCs w:val="20"/>
          <w:color w:val="auto"/>
        </w:rPr>
      </w:pPr>
    </w:p>
    <w:p>
      <w:pPr>
        <w:jc w:val="both"/>
        <w:ind w:right="120" w:firstLine="542"/>
        <w:spacing w:after="0" w:line="291" w:lineRule="auto"/>
        <w:rPr>
          <w:sz w:val="20"/>
          <w:szCs w:val="20"/>
          <w:color w:val="auto"/>
        </w:rPr>
      </w:pPr>
      <w:r>
        <w:rPr>
          <w:rFonts w:ascii="Arial" w:cs="Arial" w:eastAsia="Arial" w:hAnsi="Arial"/>
          <w:sz w:val="14"/>
          <w:szCs w:val="14"/>
          <w:color w:val="auto"/>
        </w:rPr>
        <w:t>The firm of PricewaterhouseCoopers LLP has been selected by the Audit Committee of the Board of Directors as the Company's registered independent public accounting firm for 2006.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183" w:lineRule="exact"/>
        <w:rPr>
          <w:sz w:val="20"/>
          <w:szCs w:val="20"/>
          <w:color w:val="auto"/>
        </w:rPr>
      </w:pPr>
    </w:p>
    <w:p>
      <w:pPr>
        <w:ind w:right="60" w:firstLine="542"/>
        <w:spacing w:after="0" w:line="276" w:lineRule="auto"/>
        <w:rPr>
          <w:sz w:val="20"/>
          <w:szCs w:val="20"/>
          <w:color w:val="auto"/>
        </w:rPr>
      </w:pPr>
      <w:r>
        <w:rPr>
          <w:rFonts w:ascii="Arial" w:cs="Arial" w:eastAsia="Arial" w:hAnsi="Arial"/>
          <w:sz w:val="15"/>
          <w:szCs w:val="15"/>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 OF DIRECTORS RECOMMENDS A VOTE “FOR” THIS PROPOSAL</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353695</wp:posOffset>
            </wp:positionV>
            <wp:extent cx="728853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853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SHAREHOLDER PROPOSALS</w:t>
      </w:r>
    </w:p>
    <w:p>
      <w:pPr>
        <w:spacing w:after="0" w:line="238" w:lineRule="exact"/>
        <w:rPr>
          <w:sz w:val="20"/>
          <w:szCs w:val="20"/>
          <w:color w:val="auto"/>
        </w:rPr>
      </w:pPr>
    </w:p>
    <w:p>
      <w:pPr>
        <w:jc w:val="both"/>
        <w:ind w:firstLine="542"/>
        <w:spacing w:after="0" w:line="257" w:lineRule="auto"/>
        <w:rPr>
          <w:sz w:val="20"/>
          <w:szCs w:val="20"/>
          <w:color w:val="auto"/>
        </w:rPr>
      </w:pPr>
      <w:r>
        <w:rPr>
          <w:rFonts w:ascii="Arial" w:cs="Arial" w:eastAsia="Arial" w:hAnsi="Arial"/>
          <w:sz w:val="15"/>
          <w:szCs w:val="15"/>
          <w:color w:val="auto"/>
        </w:rPr>
        <w:t>Any shareholder proposal intended to be presented at next year's Annual Meeting must be received by the Company at its executive offices not later than December 15, 2006 in order to be considered for inclusion in the Company's proxy statement and form of proxy for such meeting. These proposals should be sent to NN, Inc., Attention: Secretary, 2000 Waters Edge Drive, Johnson City, Tennessee 37604. Proposals of shareholders not intended for inclusion in the Company’s 2007 proxy statement must be received by the Company in writing no later than February 28, 2007 in order to preclude the Company’s use of its discretionary proxy voting authority to vote on the proposal or nominee if the proponent is present at the 2007 annual meeting.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INFORMATION ABOUT THE DIRECTORS</w:t>
      </w:r>
    </w:p>
    <w:p>
      <w:pPr>
        <w:spacing w:after="0" w:line="238" w:lineRule="exact"/>
        <w:rPr>
          <w:sz w:val="20"/>
          <w:szCs w:val="20"/>
          <w:color w:val="auto"/>
        </w:rPr>
      </w:pPr>
    </w:p>
    <w:p>
      <w:pPr>
        <w:ind w:right="160" w:firstLine="542"/>
        <w:spacing w:after="0" w:line="276" w:lineRule="auto"/>
        <w:rPr>
          <w:sz w:val="20"/>
          <w:szCs w:val="20"/>
          <w:color w:val="auto"/>
        </w:rPr>
      </w:pPr>
      <w:r>
        <w:rPr>
          <w:rFonts w:ascii="Arial" w:cs="Arial" w:eastAsia="Arial" w:hAnsi="Arial"/>
          <w:sz w:val="15"/>
          <w:szCs w:val="15"/>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3"/>
              </w:rPr>
              <w:t>Director</w:t>
            </w:r>
          </w:p>
        </w:tc>
        <w:tc>
          <w:tcPr>
            <w:tcW w:w="1180" w:type="dxa"/>
            <w:vAlign w:val="bottom"/>
          </w:tcPr>
          <w:p>
            <w:pPr>
              <w:jc w:val="center"/>
              <w:ind w:left="145"/>
              <w:spacing w:after="0"/>
              <w:rPr>
                <w:sz w:val="20"/>
                <w:szCs w:val="20"/>
                <w:color w:val="auto"/>
              </w:rPr>
            </w:pPr>
            <w:r>
              <w:rPr>
                <w:rFonts w:ascii="Arial" w:cs="Arial" w:eastAsia="Arial" w:hAnsi="Arial"/>
                <w:sz w:val="15"/>
                <w:szCs w:val="15"/>
                <w:b w:val="1"/>
                <w:bCs w:val="1"/>
                <w:color w:val="auto"/>
                <w:w w:val="98"/>
              </w:rPr>
              <w:t>Term</w:t>
            </w:r>
          </w:p>
        </w:tc>
        <w:tc>
          <w:tcPr>
            <w:tcW w:w="5260" w:type="dxa"/>
            <w:vAlign w:val="bottom"/>
          </w:tcPr>
          <w:p>
            <w:pPr>
              <w:spacing w:after="0"/>
              <w:rPr>
                <w:sz w:val="15"/>
                <w:szCs w:val="15"/>
                <w:color w:val="auto"/>
              </w:rPr>
            </w:pPr>
          </w:p>
        </w:tc>
      </w:tr>
      <w:tr>
        <w:trPr>
          <w:trHeight w:val="240"/>
        </w:trPr>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5"/>
                <w:szCs w:val="15"/>
                <w:b w:val="1"/>
                <w:bCs w:val="1"/>
                <w:color w:val="auto"/>
              </w:rPr>
              <w:t>Name</w:t>
            </w:r>
          </w:p>
        </w:tc>
        <w:tc>
          <w:tcPr>
            <w:tcW w:w="1460" w:type="dxa"/>
            <w:vAlign w:val="bottom"/>
            <w:tcBorders>
              <w:bottom w:val="single" w:sz="8" w:color="auto"/>
            </w:tcBorders>
          </w:tcPr>
          <w:p>
            <w:pPr>
              <w:jc w:val="center"/>
              <w:ind w:left="185"/>
              <w:spacing w:after="0"/>
              <w:rPr>
                <w:sz w:val="20"/>
                <w:szCs w:val="20"/>
                <w:color w:val="auto"/>
              </w:rPr>
            </w:pPr>
            <w:r>
              <w:rPr>
                <w:rFonts w:ascii="Arial" w:cs="Arial" w:eastAsia="Arial" w:hAnsi="Arial"/>
                <w:sz w:val="15"/>
                <w:szCs w:val="15"/>
                <w:b w:val="1"/>
                <w:bCs w:val="1"/>
                <w:color w:val="auto"/>
                <w:w w:val="84"/>
              </w:rPr>
              <w:t>Age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Since</w:t>
            </w:r>
          </w:p>
        </w:tc>
        <w:tc>
          <w:tcPr>
            <w:tcW w:w="1180" w:type="dxa"/>
            <w:vAlign w:val="bottom"/>
            <w:tcBorders>
              <w:bottom w:val="single" w:sz="8" w:color="auto"/>
            </w:tcBorders>
          </w:tcPr>
          <w:p>
            <w:pPr>
              <w:jc w:val="center"/>
              <w:ind w:left="145"/>
              <w:spacing w:after="0"/>
              <w:rPr>
                <w:sz w:val="20"/>
                <w:szCs w:val="20"/>
                <w:color w:val="auto"/>
              </w:rPr>
            </w:pPr>
            <w:r>
              <w:rPr>
                <w:rFonts w:ascii="Arial" w:cs="Arial" w:eastAsia="Arial" w:hAnsi="Arial"/>
                <w:sz w:val="15"/>
                <w:szCs w:val="15"/>
                <w:b w:val="1"/>
                <w:bCs w:val="1"/>
                <w:color w:val="auto"/>
                <w:w w:val="88"/>
              </w:rPr>
              <w:t>Expires</w:t>
            </w:r>
          </w:p>
        </w:tc>
        <w:tc>
          <w:tcPr>
            <w:tcW w:w="5260" w:type="dxa"/>
            <w:vAlign w:val="bottom"/>
            <w:tcBorders>
              <w:bottom w:val="single" w:sz="8" w:color="auto"/>
            </w:tcBorders>
          </w:tcPr>
          <w:p>
            <w:pPr>
              <w:ind w:left="1840"/>
              <w:spacing w:after="0"/>
              <w:rPr>
                <w:sz w:val="20"/>
                <w:szCs w:val="20"/>
                <w:color w:val="auto"/>
              </w:rPr>
            </w:pPr>
            <w:r>
              <w:rPr>
                <w:rFonts w:ascii="Arial" w:cs="Arial" w:eastAsia="Arial" w:hAnsi="Arial"/>
                <w:sz w:val="15"/>
                <w:szCs w:val="15"/>
                <w:b w:val="1"/>
                <w:bCs w:val="1"/>
                <w:color w:val="auto"/>
              </w:rPr>
              <w:t>Positions with the Company</w:t>
            </w:r>
          </w:p>
        </w:tc>
      </w:tr>
      <w:tr>
        <w:trPr>
          <w:trHeight w:val="366"/>
        </w:trPr>
        <w:tc>
          <w:tcPr>
            <w:tcW w:w="2060" w:type="dxa"/>
            <w:vAlign w:val="bottom"/>
          </w:tcPr>
          <w:p>
            <w:pPr>
              <w:spacing w:after="0"/>
              <w:rPr>
                <w:sz w:val="20"/>
                <w:szCs w:val="20"/>
                <w:color w:val="auto"/>
              </w:rPr>
            </w:pPr>
            <w:r>
              <w:rPr>
                <w:rFonts w:ascii="Arial" w:cs="Arial" w:eastAsia="Arial" w:hAnsi="Arial"/>
                <w:sz w:val="15"/>
                <w:szCs w:val="15"/>
                <w:color w:val="auto"/>
              </w:rPr>
              <w:t>G. Ronald Morris</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w w:val="95"/>
              </w:rPr>
              <w:t>69</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1994</w:t>
            </w:r>
          </w:p>
        </w:tc>
        <w:tc>
          <w:tcPr>
            <w:tcW w:w="1180" w:type="dxa"/>
            <w:vAlign w:val="bottom"/>
          </w:tcPr>
          <w:p>
            <w:pPr>
              <w:jc w:val="center"/>
              <w:ind w:left="125"/>
              <w:spacing w:after="0"/>
              <w:rPr>
                <w:sz w:val="20"/>
                <w:szCs w:val="20"/>
                <w:color w:val="auto"/>
              </w:rPr>
            </w:pPr>
            <w:r>
              <w:rPr>
                <w:rFonts w:ascii="Arial" w:cs="Arial" w:eastAsia="Arial" w:hAnsi="Arial"/>
                <w:sz w:val="15"/>
                <w:szCs w:val="15"/>
                <w:color w:val="auto"/>
                <w:w w:val="89"/>
              </w:rPr>
              <w:t>2008</w:t>
            </w:r>
          </w:p>
        </w:tc>
        <w:tc>
          <w:tcPr>
            <w:tcW w:w="526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81"/>
        </w:trPr>
        <w:tc>
          <w:tcPr>
            <w:tcW w:w="2060" w:type="dxa"/>
            <w:vAlign w:val="bottom"/>
          </w:tcPr>
          <w:p>
            <w:pPr>
              <w:spacing w:after="0"/>
              <w:rPr>
                <w:sz w:val="20"/>
                <w:szCs w:val="20"/>
                <w:color w:val="auto"/>
              </w:rPr>
            </w:pPr>
            <w:r>
              <w:rPr>
                <w:rFonts w:ascii="Arial" w:cs="Arial" w:eastAsia="Arial" w:hAnsi="Arial"/>
                <w:sz w:val="15"/>
                <w:szCs w:val="15"/>
                <w:color w:val="auto"/>
              </w:rPr>
              <w:t>Steven T. Warshaw</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w w:val="95"/>
              </w:rPr>
              <w:t>57</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1997</w:t>
            </w:r>
          </w:p>
        </w:tc>
        <w:tc>
          <w:tcPr>
            <w:tcW w:w="1180" w:type="dxa"/>
            <w:vAlign w:val="bottom"/>
          </w:tcPr>
          <w:p>
            <w:pPr>
              <w:jc w:val="center"/>
              <w:ind w:left="125"/>
              <w:spacing w:after="0"/>
              <w:rPr>
                <w:sz w:val="20"/>
                <w:szCs w:val="20"/>
                <w:color w:val="auto"/>
              </w:rPr>
            </w:pPr>
            <w:r>
              <w:rPr>
                <w:rFonts w:ascii="Arial" w:cs="Arial" w:eastAsia="Arial" w:hAnsi="Arial"/>
                <w:sz w:val="15"/>
                <w:szCs w:val="15"/>
                <w:color w:val="auto"/>
                <w:w w:val="89"/>
              </w:rPr>
              <w:t>2008</w:t>
            </w:r>
          </w:p>
        </w:tc>
        <w:tc>
          <w:tcPr>
            <w:tcW w:w="526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81"/>
        </w:trPr>
        <w:tc>
          <w:tcPr>
            <w:tcW w:w="2060" w:type="dxa"/>
            <w:vAlign w:val="bottom"/>
          </w:tcPr>
          <w:p>
            <w:pPr>
              <w:spacing w:after="0"/>
              <w:rPr>
                <w:sz w:val="20"/>
                <w:szCs w:val="20"/>
                <w:color w:val="auto"/>
              </w:rPr>
            </w:pPr>
            <w:r>
              <w:rPr>
                <w:rFonts w:ascii="Arial" w:cs="Arial" w:eastAsia="Arial" w:hAnsi="Arial"/>
                <w:sz w:val="15"/>
                <w:szCs w:val="15"/>
                <w:color w:val="auto"/>
              </w:rPr>
              <w:t>Michael E. Werner</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w w:val="95"/>
              </w:rPr>
              <w:t>61</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1995</w:t>
            </w:r>
          </w:p>
        </w:tc>
        <w:tc>
          <w:tcPr>
            <w:tcW w:w="1180" w:type="dxa"/>
            <w:vAlign w:val="bottom"/>
          </w:tcPr>
          <w:p>
            <w:pPr>
              <w:jc w:val="center"/>
              <w:ind w:left="125"/>
              <w:spacing w:after="0"/>
              <w:rPr>
                <w:sz w:val="20"/>
                <w:szCs w:val="20"/>
                <w:color w:val="auto"/>
              </w:rPr>
            </w:pPr>
            <w:r>
              <w:rPr>
                <w:rFonts w:ascii="Arial" w:cs="Arial" w:eastAsia="Arial" w:hAnsi="Arial"/>
                <w:sz w:val="15"/>
                <w:szCs w:val="15"/>
                <w:color w:val="auto"/>
                <w:w w:val="89"/>
              </w:rPr>
              <w:t>2007</w:t>
            </w:r>
          </w:p>
        </w:tc>
        <w:tc>
          <w:tcPr>
            <w:tcW w:w="526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81"/>
        </w:trPr>
        <w:tc>
          <w:tcPr>
            <w:tcW w:w="2060" w:type="dxa"/>
            <w:vAlign w:val="bottom"/>
          </w:tcPr>
          <w:p>
            <w:pPr>
              <w:spacing w:after="0"/>
              <w:rPr>
                <w:sz w:val="20"/>
                <w:szCs w:val="20"/>
                <w:color w:val="auto"/>
              </w:rPr>
            </w:pPr>
            <w:r>
              <w:rPr>
                <w:rFonts w:ascii="Arial" w:cs="Arial" w:eastAsia="Arial" w:hAnsi="Arial"/>
                <w:sz w:val="15"/>
                <w:szCs w:val="15"/>
                <w:color w:val="auto"/>
              </w:rPr>
              <w:t>Richard G. Fanelli</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w w:val="95"/>
              </w:rPr>
              <w:t>67</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2005</w:t>
            </w:r>
          </w:p>
        </w:tc>
        <w:tc>
          <w:tcPr>
            <w:tcW w:w="1180" w:type="dxa"/>
            <w:vAlign w:val="bottom"/>
          </w:tcPr>
          <w:p>
            <w:pPr>
              <w:jc w:val="center"/>
              <w:ind w:left="125"/>
              <w:spacing w:after="0"/>
              <w:rPr>
                <w:sz w:val="20"/>
                <w:szCs w:val="20"/>
                <w:color w:val="auto"/>
              </w:rPr>
            </w:pPr>
            <w:r>
              <w:rPr>
                <w:rFonts w:ascii="Arial" w:cs="Arial" w:eastAsia="Arial" w:hAnsi="Arial"/>
                <w:sz w:val="15"/>
                <w:szCs w:val="15"/>
                <w:color w:val="auto"/>
                <w:w w:val="89"/>
              </w:rPr>
              <w:t>2007</w:t>
            </w:r>
          </w:p>
        </w:tc>
        <w:tc>
          <w:tcPr>
            <w:tcW w:w="526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81"/>
        </w:trPr>
        <w:tc>
          <w:tcPr>
            <w:tcW w:w="2060" w:type="dxa"/>
            <w:vAlign w:val="bottom"/>
          </w:tcPr>
          <w:p>
            <w:pPr>
              <w:spacing w:after="0"/>
              <w:rPr>
                <w:sz w:val="20"/>
                <w:szCs w:val="20"/>
                <w:color w:val="auto"/>
              </w:rPr>
            </w:pPr>
            <w:r>
              <w:rPr>
                <w:rFonts w:ascii="Arial" w:cs="Arial" w:eastAsia="Arial" w:hAnsi="Arial"/>
                <w:sz w:val="15"/>
                <w:szCs w:val="15"/>
                <w:color w:val="auto"/>
              </w:rPr>
              <w:t>Robert M. Aiken, Jr.</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w w:val="95"/>
              </w:rPr>
              <w:t>63</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2003</w:t>
            </w:r>
          </w:p>
        </w:tc>
        <w:tc>
          <w:tcPr>
            <w:tcW w:w="1180" w:type="dxa"/>
            <w:vAlign w:val="bottom"/>
          </w:tcPr>
          <w:p>
            <w:pPr>
              <w:jc w:val="center"/>
              <w:ind w:left="125"/>
              <w:spacing w:after="0"/>
              <w:rPr>
                <w:sz w:val="20"/>
                <w:szCs w:val="20"/>
                <w:color w:val="auto"/>
              </w:rPr>
            </w:pPr>
            <w:r>
              <w:rPr>
                <w:rFonts w:ascii="Arial" w:cs="Arial" w:eastAsia="Arial" w:hAnsi="Arial"/>
                <w:sz w:val="15"/>
                <w:szCs w:val="15"/>
                <w:color w:val="auto"/>
                <w:w w:val="89"/>
              </w:rPr>
              <w:t>2006</w:t>
            </w:r>
          </w:p>
        </w:tc>
        <w:tc>
          <w:tcPr>
            <w:tcW w:w="5260" w:type="dxa"/>
            <w:vAlign w:val="bottom"/>
          </w:tcPr>
          <w:p>
            <w:pPr>
              <w:ind w:left="220"/>
              <w:spacing w:after="0"/>
              <w:rPr>
                <w:sz w:val="20"/>
                <w:szCs w:val="20"/>
                <w:color w:val="auto"/>
              </w:rPr>
            </w:pPr>
            <w:r>
              <w:rPr>
                <w:rFonts w:ascii="Arial" w:cs="Arial" w:eastAsia="Arial" w:hAnsi="Arial"/>
                <w:sz w:val="15"/>
                <w:szCs w:val="15"/>
                <w:color w:val="auto"/>
              </w:rPr>
              <w:t>Director - nominee for re-election</w:t>
            </w:r>
          </w:p>
        </w:tc>
      </w:tr>
      <w:tr>
        <w:trPr>
          <w:trHeight w:val="181"/>
        </w:trPr>
        <w:tc>
          <w:tcPr>
            <w:tcW w:w="2060" w:type="dxa"/>
            <w:vAlign w:val="bottom"/>
          </w:tcPr>
          <w:p>
            <w:pPr>
              <w:spacing w:after="0"/>
              <w:rPr>
                <w:sz w:val="20"/>
                <w:szCs w:val="20"/>
                <w:color w:val="auto"/>
              </w:rPr>
            </w:pPr>
            <w:r>
              <w:rPr>
                <w:rFonts w:ascii="Arial" w:cs="Arial" w:eastAsia="Arial" w:hAnsi="Arial"/>
                <w:sz w:val="15"/>
                <w:szCs w:val="15"/>
                <w:color w:val="auto"/>
              </w:rPr>
              <w:t>Roderick R. Baty</w:t>
            </w:r>
          </w:p>
        </w:tc>
        <w:tc>
          <w:tcPr>
            <w:tcW w:w="1460" w:type="dxa"/>
            <w:vAlign w:val="bottom"/>
          </w:tcPr>
          <w:p>
            <w:pPr>
              <w:jc w:val="center"/>
              <w:ind w:left="185"/>
              <w:spacing w:after="0"/>
              <w:rPr>
                <w:sz w:val="20"/>
                <w:szCs w:val="20"/>
                <w:color w:val="auto"/>
              </w:rPr>
            </w:pPr>
            <w:r>
              <w:rPr>
                <w:rFonts w:ascii="Arial" w:cs="Arial" w:eastAsia="Arial" w:hAnsi="Arial"/>
                <w:sz w:val="15"/>
                <w:szCs w:val="15"/>
                <w:color w:val="auto"/>
                <w:w w:val="95"/>
              </w:rPr>
              <w:t>52</w:t>
            </w: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1995</w:t>
            </w:r>
          </w:p>
        </w:tc>
        <w:tc>
          <w:tcPr>
            <w:tcW w:w="1180" w:type="dxa"/>
            <w:vAlign w:val="bottom"/>
          </w:tcPr>
          <w:p>
            <w:pPr>
              <w:jc w:val="center"/>
              <w:ind w:left="125"/>
              <w:spacing w:after="0"/>
              <w:rPr>
                <w:sz w:val="20"/>
                <w:szCs w:val="20"/>
                <w:color w:val="auto"/>
              </w:rPr>
            </w:pPr>
            <w:r>
              <w:rPr>
                <w:rFonts w:ascii="Arial" w:cs="Arial" w:eastAsia="Arial" w:hAnsi="Arial"/>
                <w:sz w:val="15"/>
                <w:szCs w:val="15"/>
                <w:color w:val="auto"/>
                <w:w w:val="89"/>
              </w:rPr>
              <w:t>2006</w:t>
            </w:r>
          </w:p>
        </w:tc>
        <w:tc>
          <w:tcPr>
            <w:tcW w:w="5260" w:type="dxa"/>
            <w:vAlign w:val="bottom"/>
          </w:tcPr>
          <w:p>
            <w:pPr>
              <w:ind w:left="220"/>
              <w:spacing w:after="0"/>
              <w:rPr>
                <w:sz w:val="20"/>
                <w:szCs w:val="20"/>
                <w:color w:val="auto"/>
              </w:rPr>
            </w:pPr>
            <w:r>
              <w:rPr>
                <w:rFonts w:ascii="Arial" w:cs="Arial" w:eastAsia="Arial" w:hAnsi="Arial"/>
                <w:sz w:val="15"/>
                <w:szCs w:val="15"/>
                <w:color w:val="auto"/>
                <w:w w:val="92"/>
              </w:rPr>
              <w:t>Chairman of the Board, Chief Executive Officer, President and Director - nominee</w:t>
            </w:r>
          </w:p>
        </w:tc>
      </w:tr>
      <w:tr>
        <w:trPr>
          <w:trHeight w:val="190"/>
        </w:trPr>
        <w:tc>
          <w:tcPr>
            <w:tcW w:w="2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60" w:type="dxa"/>
            <w:vAlign w:val="bottom"/>
          </w:tcPr>
          <w:p>
            <w:pPr>
              <w:ind w:left="220"/>
              <w:spacing w:after="0"/>
              <w:rPr>
                <w:sz w:val="20"/>
                <w:szCs w:val="20"/>
                <w:color w:val="auto"/>
              </w:rPr>
            </w:pPr>
            <w:r>
              <w:rPr>
                <w:rFonts w:ascii="Arial" w:cs="Arial" w:eastAsia="Arial" w:hAnsi="Arial"/>
                <w:sz w:val="15"/>
                <w:szCs w:val="15"/>
                <w:color w:val="auto"/>
              </w:rPr>
              <w:t>for re-election</w:t>
            </w:r>
          </w:p>
        </w:tc>
      </w:tr>
    </w:tbl>
    <w:p>
      <w:pPr>
        <w:spacing w:after="0" w:line="200" w:lineRule="exact"/>
        <w:rPr>
          <w:sz w:val="20"/>
          <w:szCs w:val="20"/>
          <w:color w:val="auto"/>
        </w:rPr>
      </w:pPr>
    </w:p>
    <w:p>
      <w:pPr>
        <w:spacing w:after="0" w:line="243" w:lineRule="exact"/>
        <w:rPr>
          <w:sz w:val="20"/>
          <w:szCs w:val="20"/>
          <w:color w:val="auto"/>
        </w:rPr>
      </w:pPr>
    </w:p>
    <w:p>
      <w:pPr>
        <w:ind w:right="120" w:firstLine="542"/>
        <w:spacing w:after="0" w:line="306" w:lineRule="auto"/>
        <w:rPr>
          <w:sz w:val="20"/>
          <w:szCs w:val="20"/>
          <w:color w:val="auto"/>
        </w:rPr>
      </w:pPr>
      <w:r>
        <w:rPr>
          <w:rFonts w:ascii="Arial" w:cs="Arial" w:eastAsia="Arial" w:hAnsi="Arial"/>
          <w:sz w:val="13"/>
          <w:szCs w:val="13"/>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serves on the board of directors of Hines Horticulture, Inc., a publicly held company.</w:t>
      </w:r>
    </w:p>
    <w:p>
      <w:pPr>
        <w:spacing w:after="0" w:line="177" w:lineRule="exact"/>
        <w:rPr>
          <w:sz w:val="20"/>
          <w:szCs w:val="20"/>
          <w:color w:val="auto"/>
        </w:rPr>
      </w:pPr>
    </w:p>
    <w:p>
      <w:pPr>
        <w:ind w:firstLine="542"/>
        <w:spacing w:after="0" w:line="280" w:lineRule="auto"/>
        <w:rPr>
          <w:sz w:val="20"/>
          <w:szCs w:val="20"/>
          <w:color w:val="auto"/>
        </w:rPr>
      </w:pPr>
      <w:r>
        <w:rPr>
          <w:rFonts w:ascii="Arial" w:cs="Arial" w:eastAsia="Arial" w:hAnsi="Arial"/>
          <w:sz w:val="14"/>
          <w:szCs w:val="14"/>
          <w:color w:val="auto"/>
        </w:rPr>
        <w:t>Steven T. Warshaw resigned during 2005 from M Cubed Technologies, a developer and 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191" w:lineRule="exact"/>
        <w:rPr>
          <w:sz w:val="20"/>
          <w:szCs w:val="20"/>
          <w:color w:val="auto"/>
        </w:rPr>
      </w:pPr>
    </w:p>
    <w:p>
      <w:pPr>
        <w:ind w:right="60" w:firstLine="542"/>
        <w:spacing w:after="0" w:line="263" w:lineRule="auto"/>
        <w:rPr>
          <w:sz w:val="20"/>
          <w:szCs w:val="20"/>
          <w:color w:val="auto"/>
        </w:rPr>
      </w:pPr>
      <w:r>
        <w:rPr>
          <w:rFonts w:ascii="Arial" w:cs="Arial" w:eastAsia="Arial" w:hAnsi="Arial"/>
          <w:sz w:val="15"/>
          <w:szCs w:val="15"/>
          <w:color w:val="auto"/>
        </w:rPr>
        <w:t>Michael E. Werner is a management consultant with Werner &amp;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201" w:lineRule="exact"/>
        <w:rPr>
          <w:sz w:val="20"/>
          <w:szCs w:val="20"/>
          <w:color w:val="auto"/>
        </w:rPr>
      </w:pPr>
    </w:p>
    <w:p>
      <w:pPr>
        <w:ind w:right="20" w:firstLine="542"/>
        <w:spacing w:after="0" w:line="257" w:lineRule="auto"/>
        <w:rPr>
          <w:sz w:val="20"/>
          <w:szCs w:val="20"/>
          <w:color w:val="auto"/>
        </w:rPr>
      </w:pPr>
      <w:r>
        <w:rPr>
          <w:rFonts w:ascii="Arial" w:cs="Arial" w:eastAsia="Arial" w:hAnsi="Arial"/>
          <w:sz w:val="15"/>
          <w:szCs w:val="15"/>
          <w:color w:val="auto"/>
        </w:rPr>
        <w:t>Richard G. Fanelli retired in 2000 from Enthone-OMI, Inc., where he spent his entire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w:t>
      </w:r>
    </w:p>
    <w:p>
      <w:pPr>
        <w:spacing w:after="0" w:line="207" w:lineRule="exact"/>
        <w:rPr>
          <w:sz w:val="20"/>
          <w:szCs w:val="20"/>
          <w:color w:val="auto"/>
        </w:rPr>
      </w:pPr>
    </w:p>
    <w:p>
      <w:pPr>
        <w:ind w:right="40" w:firstLine="542"/>
        <w:spacing w:after="0" w:line="259" w:lineRule="auto"/>
        <w:rPr>
          <w:sz w:val="20"/>
          <w:szCs w:val="20"/>
          <w:color w:val="auto"/>
        </w:rPr>
      </w:pPr>
      <w:r>
        <w:rPr>
          <w:rFonts w:ascii="Arial" w:cs="Arial" w:eastAsia="Arial" w:hAnsi="Arial"/>
          <w:sz w:val="15"/>
          <w:szCs w:val="15"/>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5" w:name="page6"/>
    <w:bookmarkEnd w:id="5"/>
    <w:p>
      <w:pPr>
        <w:ind w:right="200" w:firstLine="542"/>
        <w:spacing w:after="0" w:line="291" w:lineRule="auto"/>
        <w:rPr>
          <w:sz w:val="20"/>
          <w:szCs w:val="20"/>
          <w:color w:val="auto"/>
        </w:rPr>
      </w:pPr>
      <w:r>
        <w:rPr>
          <w:rFonts w:ascii="Arial" w:cs="Arial" w:eastAsia="Arial" w:hAnsi="Arial"/>
          <w:sz w:val="14"/>
          <w:szCs w:val="14"/>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w:t>
      </w:r>
    </w:p>
    <w:p>
      <w:pPr>
        <w:spacing w:after="0" w:line="238" w:lineRule="exact"/>
        <w:rPr>
          <w:sz w:val="20"/>
          <w:szCs w:val="20"/>
          <w:color w:val="auto"/>
        </w:rPr>
      </w:pPr>
    </w:p>
    <w:p>
      <w:pPr>
        <w:ind w:right="280" w:firstLine="542"/>
        <w:spacing w:after="0" w:line="257" w:lineRule="auto"/>
        <w:rPr>
          <w:sz w:val="20"/>
          <w:szCs w:val="20"/>
          <w:color w:val="auto"/>
        </w:rPr>
      </w:pPr>
      <w:r>
        <w:rPr>
          <w:rFonts w:ascii="Arial" w:cs="Arial" w:eastAsia="Arial" w:hAnsi="Arial"/>
          <w:sz w:val="15"/>
          <w:szCs w:val="15"/>
          <w:color w:val="auto"/>
        </w:rPr>
        <w:t>Directors who are not employees of the Company are paid an annual retainer of $20,000 and a fee of $1,000 for each Board meeting attended, $750 for each committee meeting attended and $500 for each teleconference meeting attended. Additionally, committee chairs are paid an annual retainer of $3,250.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w:t>
      </w:r>
    </w:p>
    <w:p>
      <w:pPr>
        <w:spacing w:after="0" w:line="238" w:lineRule="exact"/>
        <w:rPr>
          <w:sz w:val="20"/>
          <w:szCs w:val="20"/>
          <w:color w:val="auto"/>
        </w:rPr>
      </w:pPr>
    </w:p>
    <w:p>
      <w:pPr>
        <w:ind w:right="60" w:firstLine="542"/>
        <w:spacing w:after="0" w:line="276" w:lineRule="auto"/>
        <w:rPr>
          <w:sz w:val="20"/>
          <w:szCs w:val="20"/>
          <w:color w:val="auto"/>
        </w:rPr>
      </w:pPr>
      <w:r>
        <w:rPr>
          <w:rFonts w:ascii="Arial" w:cs="Arial" w:eastAsia="Arial" w:hAnsi="Arial"/>
          <w:sz w:val="14"/>
          <w:szCs w:val="14"/>
          <w:i w:val="1"/>
          <w:iCs w:val="1"/>
          <w:color w:val="auto"/>
        </w:rPr>
        <w:t>Audit Committee</w:t>
      </w:r>
      <w:r>
        <w:rPr>
          <w:rFonts w:ascii="Arial" w:cs="Arial" w:eastAsia="Arial" w:hAnsi="Arial"/>
          <w:sz w:val="14"/>
          <w:szCs w:val="14"/>
          <w:color w:val="auto"/>
        </w:rPr>
        <w:t>. The Audit Committee of the Board of Directors consists of Robert M. Aiken, Jr., Michael E. Werner, and Steven T. Warshaw. All members of the Audit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Committee are independent as defined Nasdaq rules and Mr. Aiken has been designated as the “audit committee financial expert” as defined by in Item 401(h) of Regulation S-K. Among other matters described in its charter, the Audit Committee is responsible for engaging the registered independent public accounting firm to conduct the annual audit of the books and accounts of the Company and for reviewing the adequacy and effectiveness of the internal auditing, accounting and financial controls of the Company with the registered independent public accounting firm and the Company's internal financial and accounting staff. The Audit Committee originally adopted a written charter in June 2000. The Audit Committee subsequently revised this charter in April 2003, March 2004, March 2005 and March 2006. The Audit Committee Charter is subject to review and reassessment at least annually. This revised charter is included on the Company's website at </w:t>
      </w:r>
      <w:r>
        <w:rPr>
          <w:rFonts w:ascii="Arial" w:cs="Arial" w:eastAsia="Arial" w:hAnsi="Arial"/>
          <w:sz w:val="14"/>
          <w:szCs w:val="14"/>
          <w:i w:val="1"/>
          <w:iCs w:val="1"/>
          <w:color w:val="auto"/>
        </w:rPr>
        <w:t>www.nnbr.com</w:t>
      </w:r>
      <w:r>
        <w:rPr>
          <w:rFonts w:ascii="Arial" w:cs="Arial" w:eastAsia="Arial" w:hAnsi="Arial"/>
          <w:sz w:val="14"/>
          <w:szCs w:val="14"/>
          <w:color w:val="auto"/>
        </w:rPr>
        <w:t>. The Audit Committee met fourteen times in 2005.</w:t>
      </w:r>
    </w:p>
    <w:p>
      <w:pPr>
        <w:spacing w:after="0" w:line="196" w:lineRule="exact"/>
        <w:rPr>
          <w:sz w:val="20"/>
          <w:szCs w:val="20"/>
          <w:color w:val="auto"/>
        </w:rPr>
      </w:pPr>
    </w:p>
    <w:p>
      <w:pPr>
        <w:ind w:firstLine="542"/>
        <w:spacing w:after="0" w:line="255" w:lineRule="auto"/>
        <w:rPr>
          <w:sz w:val="20"/>
          <w:szCs w:val="20"/>
          <w:color w:val="auto"/>
        </w:rPr>
      </w:pPr>
      <w:r>
        <w:rPr>
          <w:rFonts w:ascii="Arial" w:cs="Arial" w:eastAsia="Arial" w:hAnsi="Arial"/>
          <w:sz w:val="15"/>
          <w:szCs w:val="15"/>
          <w:i w:val="1"/>
          <w:iCs w:val="1"/>
          <w:color w:val="auto"/>
        </w:rPr>
        <w:t>Compensation Committee</w:t>
      </w:r>
      <w:r>
        <w:rPr>
          <w:rFonts w:ascii="Arial" w:cs="Arial" w:eastAsia="Arial" w:hAnsi="Arial"/>
          <w:sz w:val="15"/>
          <w:szCs w:val="15"/>
          <w:color w:val="auto"/>
        </w:rPr>
        <w:t>. The Compensation Committee of the Board of Directors consists of G. Ronald Morris, Steven T. Warshaw and Richard G. Fanelli. All members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Compensation 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Incentive Plan. In April 2003, the Compensation Committee presented to the Board and the Board approved a written charter. In March 2004, the Compensation Committee approved a revised charter which is included on the Company’s website at </w:t>
      </w:r>
      <w:r>
        <w:rPr>
          <w:rFonts w:ascii="Arial" w:cs="Arial" w:eastAsia="Arial" w:hAnsi="Arial"/>
          <w:sz w:val="15"/>
          <w:szCs w:val="15"/>
          <w:i w:val="1"/>
          <w:iCs w:val="1"/>
          <w:color w:val="auto"/>
        </w:rPr>
        <w:t>www.nnbr.com</w:t>
      </w:r>
      <w:r>
        <w:rPr>
          <w:rFonts w:ascii="Arial" w:cs="Arial" w:eastAsia="Arial" w:hAnsi="Arial"/>
          <w:sz w:val="15"/>
          <w:szCs w:val="15"/>
          <w:color w:val="auto"/>
        </w:rPr>
        <w:t>. The functions of the Compensation Committee are discussed in further detail in the section entitled "Report of the Compensation Committee" herein.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met six times in 2005.</w:t>
      </w:r>
    </w:p>
    <w:p>
      <w:pPr>
        <w:spacing w:after="0" w:line="209" w:lineRule="exact"/>
        <w:rPr>
          <w:sz w:val="20"/>
          <w:szCs w:val="20"/>
          <w:color w:val="auto"/>
        </w:rPr>
      </w:pPr>
    </w:p>
    <w:p>
      <w:pPr>
        <w:ind w:right="460" w:firstLine="542"/>
        <w:spacing w:after="0" w:line="313" w:lineRule="auto"/>
        <w:rPr>
          <w:sz w:val="20"/>
          <w:szCs w:val="20"/>
          <w:color w:val="auto"/>
        </w:rPr>
      </w:pPr>
      <w:r>
        <w:rPr>
          <w:rFonts w:ascii="Arial" w:cs="Arial" w:eastAsia="Arial" w:hAnsi="Arial"/>
          <w:sz w:val="14"/>
          <w:szCs w:val="14"/>
          <w:i w:val="1"/>
          <w:iCs w:val="1"/>
          <w:color w:val="auto"/>
        </w:rPr>
        <w:t xml:space="preserve">Governance Committee. </w:t>
      </w:r>
      <w:r>
        <w:rPr>
          <w:rFonts w:ascii="Arial" w:cs="Arial" w:eastAsia="Arial" w:hAnsi="Arial"/>
          <w:sz w:val="14"/>
          <w:szCs w:val="14"/>
          <w:color w:val="auto"/>
        </w:rPr>
        <w:t>The Governance Committee of the Board of Directors was formed by the Board of Directors in the third quarter of 2002. The Committee consists of</w:t>
      </w:r>
      <w:r>
        <w:rPr>
          <w:rFonts w:ascii="Arial" w:cs="Arial" w:eastAsia="Arial" w:hAnsi="Arial"/>
          <w:sz w:val="14"/>
          <w:szCs w:val="14"/>
          <w:i w:val="1"/>
          <w:iCs w:val="1"/>
          <w:color w:val="auto"/>
        </w:rPr>
        <w:t xml:space="preserve"> </w:t>
      </w:r>
      <w:r>
        <w:rPr>
          <w:rFonts w:ascii="Arial" w:cs="Arial" w:eastAsia="Arial" w:hAnsi="Arial"/>
          <w:sz w:val="14"/>
          <w:szCs w:val="14"/>
          <w:color w:val="auto"/>
        </w:rPr>
        <w:t>Michael E. Werner, G. Ronald Morris and Richard G. Fanelli. All members of the Governance Committee are independent as defined by Nasdaq rules.</w:t>
      </w:r>
    </w:p>
    <w:p>
      <w:pPr>
        <w:spacing w:after="0" w:line="168" w:lineRule="exact"/>
        <w:rPr>
          <w:sz w:val="20"/>
          <w:szCs w:val="20"/>
          <w:color w:val="auto"/>
        </w:rPr>
      </w:pPr>
    </w:p>
    <w:p>
      <w:pPr>
        <w:ind w:right="160" w:firstLine="542"/>
        <w:spacing w:after="0" w:line="256" w:lineRule="auto"/>
        <w:rPr>
          <w:sz w:val="20"/>
          <w:szCs w:val="20"/>
          <w:color w:val="auto"/>
        </w:rPr>
      </w:pPr>
      <w:r>
        <w:rPr>
          <w:rFonts w:ascii="Arial" w:cs="Arial" w:eastAsia="Arial" w:hAnsi="Arial"/>
          <w:sz w:val="15"/>
          <w:szCs w:val="15"/>
          <w:color w:val="auto"/>
        </w:rPr>
        <w:t>As provided in its charter, the Governance Committee is responsible for reviewing and recommending qualified candidates for membership on the Board of Directors. The Committee seeks input from the Chairman of the Board, other Board members, and professional search firms, if applicable. The Committee will also consider and evaluate any qualified candidates recommended by shareholders. In accordance with the Board's governance principles, the Committee seeks to establish a Board that will bring to the Company a broad range of experience, knowledge and professional judgment. The Committee believes that the Board should have collective competency, knowledge and experience with respect to Corporate Governance, Business, Finance and Accounting, Economics, Industry Knowledge, Manufacturing, Technology, Legal and Government Affairs, and International Operations, among other things.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6" w:name="page7"/>
    <w:bookmarkEnd w:id="6"/>
    <w:p>
      <w:pPr>
        <w:ind w:right="20" w:firstLine="542"/>
        <w:spacing w:after="0" w:line="280" w:lineRule="auto"/>
        <w:rPr>
          <w:sz w:val="20"/>
          <w:szCs w:val="20"/>
          <w:color w:val="auto"/>
        </w:rPr>
      </w:pPr>
      <w:r>
        <w:rPr>
          <w:rFonts w:ascii="Arial" w:cs="Arial" w:eastAsia="Arial" w:hAnsi="Arial"/>
          <w:sz w:val="14"/>
          <w:szCs w:val="14"/>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191" w:lineRule="exact"/>
        <w:rPr>
          <w:sz w:val="20"/>
          <w:szCs w:val="20"/>
          <w:color w:val="auto"/>
        </w:rPr>
      </w:pPr>
    </w:p>
    <w:p>
      <w:pPr>
        <w:jc w:val="both"/>
        <w:ind w:firstLine="557"/>
        <w:spacing w:after="0" w:line="276" w:lineRule="auto"/>
        <w:rPr>
          <w:sz w:val="20"/>
          <w:szCs w:val="20"/>
          <w:color w:val="auto"/>
        </w:rPr>
      </w:pPr>
      <w:r>
        <w:rPr>
          <w:rFonts w:ascii="Arial" w:cs="Arial" w:eastAsia="Arial" w:hAnsi="Arial"/>
          <w:sz w:val="14"/>
          <w:szCs w:val="14"/>
          <w:color w:val="auto"/>
        </w:rPr>
        <w:t xml:space="preserve">Shareholders who wish to recommend director candidates for the 2007 Annual Meeting of Shareholders should notify the Secretary in writing at NN, Inc., 2000 Waters Edge Drive, Johnson City, Tennessee 37604. This notification must be received by the Company by December 15, 2006,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4"/>
          <w:szCs w:val="14"/>
          <w:i w:val="1"/>
          <w:iCs w:val="1"/>
          <w:color w:val="auto"/>
        </w:rPr>
        <w:t>www.nnbr.com</w:t>
      </w:r>
      <w:r>
        <w:rPr>
          <w:rFonts w:ascii="Arial" w:cs="Arial" w:eastAsia="Arial" w:hAnsi="Arial"/>
          <w:sz w:val="14"/>
          <w:szCs w:val="14"/>
          <w:color w:val="auto"/>
        </w:rPr>
        <w:t>. The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196" w:lineRule="exact"/>
        <w:rPr>
          <w:sz w:val="20"/>
          <w:szCs w:val="20"/>
          <w:color w:val="auto"/>
        </w:rPr>
      </w:pPr>
    </w:p>
    <w:p>
      <w:pPr>
        <w:jc w:val="both"/>
        <w:ind w:firstLine="572"/>
        <w:spacing w:after="0" w:line="263" w:lineRule="auto"/>
        <w:rPr>
          <w:sz w:val="20"/>
          <w:szCs w:val="20"/>
          <w:color w:val="auto"/>
        </w:rPr>
      </w:pPr>
      <w:r>
        <w:rPr>
          <w:rFonts w:ascii="Arial" w:cs="Arial" w:eastAsia="Arial" w:hAnsi="Arial"/>
          <w:sz w:val="15"/>
          <w:szCs w:val="15"/>
          <w:color w:val="auto"/>
        </w:rPr>
        <w:t>The Company retains discretion to vote proxies it receives with respect to director nominations or any other business proposals received after December 15, 2006. The Company retains discretion to vote proxies it receives with respect to such proposals received prior to December 15, 2006 provided (a) the Company includes in its proxy statement advice on the nature of the proposal and how it intends to exercise its voting discretion, and (b) the proponent does not issue its own proxy statement.</w:t>
      </w:r>
    </w:p>
    <w:p>
      <w:pPr>
        <w:spacing w:after="0" w:line="201" w:lineRule="exact"/>
        <w:rPr>
          <w:sz w:val="20"/>
          <w:szCs w:val="20"/>
          <w:color w:val="auto"/>
        </w:rPr>
      </w:pPr>
    </w:p>
    <w:p>
      <w:pPr>
        <w:ind w:right="220" w:firstLine="542"/>
        <w:spacing w:after="0" w:line="355" w:lineRule="auto"/>
        <w:rPr>
          <w:sz w:val="20"/>
          <w:szCs w:val="20"/>
          <w:color w:val="auto"/>
        </w:rPr>
      </w:pPr>
      <w:r>
        <w:rPr>
          <w:rFonts w:ascii="Arial" w:cs="Arial" w:eastAsia="Arial" w:hAnsi="Arial"/>
          <w:sz w:val="13"/>
          <w:szCs w:val="13"/>
          <w:color w:val="auto"/>
        </w:rPr>
        <w:t>The Company has not paid any third party a fee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 of Directors.</w:t>
      </w:r>
    </w:p>
    <w:p>
      <w:pPr>
        <w:spacing w:after="0" w:line="145" w:lineRule="exact"/>
        <w:rPr>
          <w:sz w:val="20"/>
          <w:szCs w:val="20"/>
          <w:color w:val="auto"/>
        </w:rPr>
      </w:pPr>
    </w:p>
    <w:p>
      <w:pPr>
        <w:ind w:right="40" w:firstLine="542"/>
        <w:spacing w:after="0" w:line="284" w:lineRule="auto"/>
        <w:rPr>
          <w:sz w:val="20"/>
          <w:szCs w:val="20"/>
          <w:color w:val="auto"/>
        </w:rPr>
      </w:pPr>
      <w:r>
        <w:rPr>
          <w:rFonts w:ascii="Arial" w:cs="Arial" w:eastAsia="Arial" w:hAnsi="Arial"/>
          <w:sz w:val="14"/>
          <w:szCs w:val="14"/>
          <w:color w:val="auto"/>
        </w:rPr>
        <w:t xml:space="preserve">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In March 2004, March 2005 and in March 2006 the Governance Committee revised this charter which is included on the Company’s website at </w:t>
      </w:r>
      <w:r>
        <w:rPr>
          <w:rFonts w:ascii="Arial" w:cs="Arial" w:eastAsia="Arial" w:hAnsi="Arial"/>
          <w:sz w:val="14"/>
          <w:szCs w:val="14"/>
          <w:i w:val="1"/>
          <w:iCs w:val="1"/>
          <w:color w:val="auto"/>
        </w:rPr>
        <w:t>www.nnbr.com</w:t>
      </w:r>
      <w:r>
        <w:rPr>
          <w:rFonts w:ascii="Arial" w:cs="Arial" w:eastAsia="Arial" w:hAnsi="Arial"/>
          <w:sz w:val="14"/>
          <w:szCs w:val="14"/>
          <w:color w:val="auto"/>
        </w:rPr>
        <w:t>. The Governance Committee met two times in 2005.</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Attendance at Board and Committee Meetings</w:t>
      </w:r>
    </w:p>
    <w:p>
      <w:pPr>
        <w:spacing w:after="0" w:line="238" w:lineRule="exact"/>
        <w:rPr>
          <w:sz w:val="20"/>
          <w:szCs w:val="20"/>
          <w:color w:val="auto"/>
        </w:rPr>
      </w:pPr>
    </w:p>
    <w:p>
      <w:pPr>
        <w:ind w:right="200" w:firstLine="542"/>
        <w:spacing w:after="0" w:line="259" w:lineRule="auto"/>
        <w:rPr>
          <w:sz w:val="20"/>
          <w:szCs w:val="20"/>
          <w:color w:val="auto"/>
        </w:rPr>
      </w:pPr>
      <w:r>
        <w:rPr>
          <w:rFonts w:ascii="Arial" w:cs="Arial" w:eastAsia="Arial" w:hAnsi="Arial"/>
          <w:sz w:val="15"/>
          <w:szCs w:val="15"/>
          <w:color w:val="auto"/>
        </w:rPr>
        <w:t>The Board of Directors held seven meetings in 2005. All current directors, with the exception of Mr. Richard G. Fanelli who was appointed to the Board in November 2005, attended at least 75 % of the aggregate of the total number of meetings of the Board and the total number of meetings held by all committees of the Board on which they served. While the Company does not have a policy requiring attendance by members of the Board of Directors at the Annual Meeting, all of the current directors, with the exception of Mr. Fanelli, attended the 2005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Communicating with the Board</w:t>
      </w:r>
    </w:p>
    <w:p>
      <w:pPr>
        <w:spacing w:after="0" w:line="238" w:lineRule="exact"/>
        <w:rPr>
          <w:sz w:val="20"/>
          <w:szCs w:val="20"/>
          <w:color w:val="auto"/>
        </w:rPr>
      </w:pPr>
    </w:p>
    <w:p>
      <w:pPr>
        <w:ind w:right="20" w:firstLine="542"/>
        <w:spacing w:after="0" w:line="263" w:lineRule="auto"/>
        <w:rPr>
          <w:sz w:val="20"/>
          <w:szCs w:val="20"/>
          <w:color w:val="auto"/>
        </w:rPr>
      </w:pPr>
      <w:r>
        <w:rPr>
          <w:rFonts w:ascii="Arial" w:cs="Arial" w:eastAsia="Arial" w:hAnsi="Arial"/>
          <w:sz w:val="15"/>
          <w:szCs w:val="15"/>
          <w:color w:val="auto"/>
        </w:rPr>
        <w:t>Interested parties may contact the Board of Directors by sending correspondence to the attention of the Secretary, NN, Inc., 2000 Waters Edge Drive, Johnson City, Tennessee 37604. Any mail received by the Secretary with the exception of improper commercial solicitations will then be forwarded to the members of the Board of Directors (or committee members, as appropriate) for their further action, if necessary.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7" w:name="page8"/>
    <w:bookmarkEnd w:id="7"/>
    <w:p>
      <w:pPr>
        <w:jc w:val="center"/>
        <w:ind w:right="-9"/>
        <w:spacing w:after="0"/>
        <w:rPr>
          <w:sz w:val="20"/>
          <w:szCs w:val="20"/>
          <w:color w:val="auto"/>
        </w:rPr>
      </w:pPr>
      <w:r>
        <w:rPr>
          <w:rFonts w:ascii="Arial" w:cs="Arial" w:eastAsia="Arial" w:hAnsi="Arial"/>
          <w:sz w:val="15"/>
          <w:szCs w:val="15"/>
          <w:b w:val="1"/>
          <w:bCs w:val="1"/>
          <w:color w:val="auto"/>
        </w:rPr>
        <w:t>BENEFICIAL OWNERSHIP OF COMMON STOCK</w:t>
      </w:r>
    </w:p>
    <w:p>
      <w:pPr>
        <w:spacing w:after="0" w:line="23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Security Ownership of Management</w:t>
      </w:r>
    </w:p>
    <w:p>
      <w:pPr>
        <w:spacing w:after="0" w:line="238" w:lineRule="exact"/>
        <w:rPr>
          <w:sz w:val="20"/>
          <w:szCs w:val="20"/>
          <w:color w:val="auto"/>
        </w:rPr>
      </w:pPr>
    </w:p>
    <w:p>
      <w:pPr>
        <w:ind w:left="10" w:right="580" w:firstLine="542"/>
        <w:spacing w:after="0" w:line="355" w:lineRule="auto"/>
        <w:rPr>
          <w:sz w:val="20"/>
          <w:szCs w:val="20"/>
          <w:color w:val="auto"/>
        </w:rPr>
      </w:pPr>
      <w:r>
        <w:rPr>
          <w:rFonts w:ascii="Arial" w:cs="Arial" w:eastAsia="Arial" w:hAnsi="Arial"/>
          <w:sz w:val="13"/>
          <w:szCs w:val="13"/>
          <w:color w:val="auto"/>
        </w:rPr>
        <w:t>The following table shows, as of March 31, 2006, the beneficial ownership of Common Stock by each director and nominee, each executive officer named in the Summary Compensation Table (the "Named Executive Officers"), and all directors and executive officers as a group, in each case as reported to the Company by such persons.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5120" w:type="dxa"/>
            <w:vAlign w:val="bottom"/>
          </w:tcPr>
          <w:p>
            <w:pPr>
              <w:ind w:left="2280"/>
              <w:spacing w:after="0"/>
              <w:rPr>
                <w:sz w:val="20"/>
                <w:szCs w:val="20"/>
                <w:color w:val="auto"/>
              </w:rPr>
            </w:pPr>
            <w:r>
              <w:rPr>
                <w:rFonts w:ascii="Arial" w:cs="Arial" w:eastAsia="Arial" w:hAnsi="Arial"/>
                <w:sz w:val="15"/>
                <w:szCs w:val="15"/>
                <w:b w:val="1"/>
                <w:bCs w:val="1"/>
                <w:color w:val="auto"/>
              </w:rPr>
              <w:t>Name and Address of</w:t>
            </w:r>
          </w:p>
        </w:tc>
        <w:tc>
          <w:tcPr>
            <w:tcW w:w="2980" w:type="dxa"/>
            <w:vAlign w:val="bottom"/>
          </w:tcPr>
          <w:p>
            <w:pPr>
              <w:jc w:val="right"/>
              <w:ind w:right="125"/>
              <w:spacing w:after="0"/>
              <w:rPr>
                <w:sz w:val="20"/>
                <w:szCs w:val="20"/>
                <w:color w:val="auto"/>
              </w:rPr>
            </w:pPr>
            <w:r>
              <w:rPr>
                <w:rFonts w:ascii="Arial" w:cs="Arial" w:eastAsia="Arial" w:hAnsi="Arial"/>
                <w:sz w:val="15"/>
                <w:szCs w:val="15"/>
                <w:b w:val="1"/>
                <w:bCs w:val="1"/>
                <w:color w:val="auto"/>
              </w:rPr>
              <w:t>Number of Shares</w:t>
            </w:r>
          </w:p>
        </w:tc>
        <w:tc>
          <w:tcPr>
            <w:tcW w:w="760" w:type="dxa"/>
            <w:vAlign w:val="bottom"/>
          </w:tcPr>
          <w:p>
            <w:pPr>
              <w:spacing w:after="0"/>
              <w:rPr>
                <w:sz w:val="15"/>
                <w:szCs w:val="15"/>
                <w:color w:val="auto"/>
              </w:rPr>
            </w:pPr>
          </w:p>
        </w:tc>
        <w:tc>
          <w:tcPr>
            <w:tcW w:w="2580" w:type="dxa"/>
            <w:vAlign w:val="bottom"/>
          </w:tcPr>
          <w:p>
            <w:pPr>
              <w:jc w:val="right"/>
              <w:ind w:right="945"/>
              <w:spacing w:after="0"/>
              <w:rPr>
                <w:sz w:val="20"/>
                <w:szCs w:val="20"/>
                <w:color w:val="auto"/>
              </w:rPr>
            </w:pPr>
            <w:r>
              <w:rPr>
                <w:rFonts w:ascii="Arial" w:cs="Arial" w:eastAsia="Arial" w:hAnsi="Arial"/>
                <w:sz w:val="15"/>
                <w:szCs w:val="15"/>
                <w:b w:val="1"/>
                <w:bCs w:val="1"/>
                <w:color w:val="auto"/>
              </w:rPr>
              <w:t>Percentage</w:t>
            </w:r>
          </w:p>
        </w:tc>
      </w:tr>
      <w:tr>
        <w:trPr>
          <w:trHeight w:val="195"/>
        </w:trPr>
        <w:tc>
          <w:tcPr>
            <w:tcW w:w="5120" w:type="dxa"/>
            <w:vAlign w:val="bottom"/>
            <w:tcBorders>
              <w:bottom w:val="single" w:sz="8" w:color="auto"/>
            </w:tcBorders>
          </w:tcPr>
          <w:p>
            <w:pPr>
              <w:ind w:left="2300"/>
              <w:spacing w:after="0"/>
              <w:rPr>
                <w:sz w:val="20"/>
                <w:szCs w:val="20"/>
                <w:color w:val="auto"/>
              </w:rPr>
            </w:pPr>
            <w:r>
              <w:rPr>
                <w:rFonts w:ascii="Arial" w:cs="Arial" w:eastAsia="Arial" w:hAnsi="Arial"/>
                <w:sz w:val="15"/>
                <w:szCs w:val="15"/>
                <w:b w:val="1"/>
                <w:bCs w:val="1"/>
                <w:color w:val="auto"/>
              </w:rPr>
              <w:t>Beneficial Owner (1)</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Beneficially Owned (2)</w:t>
            </w:r>
          </w:p>
        </w:tc>
        <w:tc>
          <w:tcPr>
            <w:tcW w:w="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rPr>
              <w:t>Beneficially Owned (2)</w:t>
            </w:r>
          </w:p>
        </w:tc>
      </w:tr>
      <w:tr>
        <w:trPr>
          <w:trHeight w:val="388"/>
        </w:trPr>
        <w:tc>
          <w:tcPr>
            <w:tcW w:w="5120" w:type="dxa"/>
            <w:vAlign w:val="bottom"/>
          </w:tcPr>
          <w:p>
            <w:pPr>
              <w:spacing w:after="0"/>
              <w:rPr>
                <w:sz w:val="20"/>
                <w:szCs w:val="20"/>
                <w:color w:val="auto"/>
              </w:rPr>
            </w:pPr>
            <w:r>
              <w:rPr>
                <w:rFonts w:ascii="Arial" w:cs="Arial" w:eastAsia="Arial" w:hAnsi="Arial"/>
                <w:sz w:val="15"/>
                <w:szCs w:val="15"/>
                <w:color w:val="auto"/>
              </w:rPr>
              <w:t>Roderick R. Baty</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393,695</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(3)</w:t>
            </w:r>
          </w:p>
        </w:tc>
        <w:tc>
          <w:tcPr>
            <w:tcW w:w="2580" w:type="dxa"/>
            <w:vAlign w:val="bottom"/>
          </w:tcPr>
          <w:p>
            <w:pPr>
              <w:jc w:val="right"/>
              <w:ind w:right="1145"/>
              <w:spacing w:after="0"/>
              <w:rPr>
                <w:sz w:val="20"/>
                <w:szCs w:val="20"/>
                <w:color w:val="auto"/>
              </w:rPr>
            </w:pPr>
            <w:r>
              <w:rPr>
                <w:rFonts w:ascii="Arial" w:cs="Arial" w:eastAsia="Arial" w:hAnsi="Arial"/>
                <w:sz w:val="15"/>
                <w:szCs w:val="15"/>
                <w:color w:val="auto"/>
              </w:rPr>
              <w:t>2.3%</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Robert R. Sams</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99,700</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(4)</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William C. Kelly, Jr.</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81,300</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(5)</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Frank T. Gentry III</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67,561</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(6)</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Nicola Trombetti</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60,500</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(7)</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Michael E. Werner</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58,287</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(8)</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G. Ronald Morris</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58,000</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7"/>
              </w:rPr>
              <w:t>(9)</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Steven T. Warshaw</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55,000</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9"/>
              </w:rPr>
              <w:t>(10)</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81"/>
        </w:trPr>
        <w:tc>
          <w:tcPr>
            <w:tcW w:w="5120" w:type="dxa"/>
            <w:vAlign w:val="bottom"/>
          </w:tcPr>
          <w:p>
            <w:pPr>
              <w:spacing w:after="0"/>
              <w:rPr>
                <w:sz w:val="20"/>
                <w:szCs w:val="20"/>
                <w:color w:val="auto"/>
              </w:rPr>
            </w:pPr>
            <w:r>
              <w:rPr>
                <w:rFonts w:ascii="Arial" w:cs="Arial" w:eastAsia="Arial" w:hAnsi="Arial"/>
                <w:sz w:val="15"/>
                <w:szCs w:val="15"/>
                <w:color w:val="auto"/>
              </w:rPr>
              <w:t>Robert M. Aiken, Jr.</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33,000</w:t>
            </w:r>
          </w:p>
        </w:tc>
        <w:tc>
          <w:tcPr>
            <w:tcW w:w="760" w:type="dxa"/>
            <w:vAlign w:val="bottom"/>
          </w:tcPr>
          <w:p>
            <w:pPr>
              <w:jc w:val="center"/>
              <w:ind w:right="325"/>
              <w:spacing w:after="0"/>
              <w:rPr>
                <w:sz w:val="20"/>
                <w:szCs w:val="20"/>
                <w:color w:val="auto"/>
              </w:rPr>
            </w:pPr>
            <w:r>
              <w:rPr>
                <w:rFonts w:ascii="Arial" w:cs="Arial" w:eastAsia="Arial" w:hAnsi="Arial"/>
                <w:sz w:val="15"/>
                <w:szCs w:val="15"/>
                <w:color w:val="auto"/>
                <w:w w:val="89"/>
              </w:rPr>
              <w:t>(11)</w:t>
            </w: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190"/>
        </w:trPr>
        <w:tc>
          <w:tcPr>
            <w:tcW w:w="5120" w:type="dxa"/>
            <w:vAlign w:val="bottom"/>
          </w:tcPr>
          <w:p>
            <w:pPr>
              <w:spacing w:after="0"/>
              <w:rPr>
                <w:sz w:val="20"/>
                <w:szCs w:val="20"/>
                <w:color w:val="auto"/>
              </w:rPr>
            </w:pPr>
            <w:r>
              <w:rPr>
                <w:rFonts w:ascii="Arial" w:cs="Arial" w:eastAsia="Arial" w:hAnsi="Arial"/>
                <w:sz w:val="15"/>
                <w:szCs w:val="15"/>
                <w:color w:val="auto"/>
              </w:rPr>
              <w:t>Richard G. Fanelli</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2,000</w:t>
            </w:r>
          </w:p>
        </w:tc>
        <w:tc>
          <w:tcPr>
            <w:tcW w:w="760" w:type="dxa"/>
            <w:vAlign w:val="bottom"/>
          </w:tcPr>
          <w:p>
            <w:pPr>
              <w:spacing w:after="0"/>
              <w:rPr>
                <w:sz w:val="16"/>
                <w:szCs w:val="16"/>
                <w:color w:val="auto"/>
              </w:rPr>
            </w:pPr>
          </w:p>
        </w:tc>
        <w:tc>
          <w:tcPr>
            <w:tcW w:w="2580" w:type="dxa"/>
            <w:vAlign w:val="bottom"/>
          </w:tcPr>
          <w:p>
            <w:pPr>
              <w:jc w:val="right"/>
              <w:ind w:right="1265"/>
              <w:spacing w:after="0"/>
              <w:rPr>
                <w:sz w:val="20"/>
                <w:szCs w:val="20"/>
                <w:color w:val="auto"/>
              </w:rPr>
            </w:pPr>
            <w:r>
              <w:rPr>
                <w:rFonts w:ascii="Arial" w:cs="Arial" w:eastAsia="Arial" w:hAnsi="Arial"/>
                <w:sz w:val="15"/>
                <w:szCs w:val="15"/>
                <w:color w:val="auto"/>
              </w:rPr>
              <w:t>*</w:t>
            </w:r>
          </w:p>
        </w:tc>
      </w:tr>
      <w:tr>
        <w:trPr>
          <w:trHeight w:val="203"/>
        </w:trPr>
        <w:tc>
          <w:tcPr>
            <w:tcW w:w="5120" w:type="dxa"/>
            <w:vAlign w:val="bottom"/>
          </w:tcPr>
          <w:p>
            <w:pPr>
              <w:spacing w:after="0"/>
              <w:rPr>
                <w:sz w:val="20"/>
                <w:szCs w:val="20"/>
                <w:color w:val="auto"/>
              </w:rPr>
            </w:pPr>
            <w:r>
              <w:rPr>
                <w:rFonts w:ascii="Arial" w:cs="Arial" w:eastAsia="Arial" w:hAnsi="Arial"/>
                <w:sz w:val="15"/>
                <w:szCs w:val="15"/>
                <w:color w:val="auto"/>
              </w:rPr>
              <w:t>All directors and executive officers as a group (12 persons)</w:t>
            </w:r>
          </w:p>
        </w:tc>
        <w:tc>
          <w:tcPr>
            <w:tcW w:w="2980" w:type="dxa"/>
            <w:vAlign w:val="bottom"/>
          </w:tcPr>
          <w:p>
            <w:pPr>
              <w:jc w:val="right"/>
              <w:ind w:right="165"/>
              <w:spacing w:after="0"/>
              <w:rPr>
                <w:sz w:val="20"/>
                <w:szCs w:val="20"/>
                <w:color w:val="auto"/>
              </w:rPr>
            </w:pPr>
            <w:r>
              <w:rPr>
                <w:rFonts w:ascii="Arial" w:cs="Arial" w:eastAsia="Arial" w:hAnsi="Arial"/>
                <w:sz w:val="15"/>
                <w:szCs w:val="15"/>
                <w:color w:val="auto"/>
              </w:rPr>
              <w:t>980,043</w:t>
            </w:r>
          </w:p>
        </w:tc>
        <w:tc>
          <w:tcPr>
            <w:tcW w:w="760" w:type="dxa"/>
            <w:vAlign w:val="bottom"/>
          </w:tcPr>
          <w:p>
            <w:pPr>
              <w:spacing w:after="0"/>
              <w:rPr>
                <w:sz w:val="17"/>
                <w:szCs w:val="17"/>
                <w:color w:val="auto"/>
              </w:rPr>
            </w:pPr>
          </w:p>
        </w:tc>
        <w:tc>
          <w:tcPr>
            <w:tcW w:w="2580" w:type="dxa"/>
            <w:vAlign w:val="bottom"/>
          </w:tcPr>
          <w:p>
            <w:pPr>
              <w:jc w:val="right"/>
              <w:ind w:right="1145"/>
              <w:spacing w:after="0"/>
              <w:rPr>
                <w:sz w:val="20"/>
                <w:szCs w:val="20"/>
                <w:color w:val="auto"/>
              </w:rPr>
            </w:pPr>
            <w:r>
              <w:rPr>
                <w:rFonts w:ascii="Arial" w:cs="Arial" w:eastAsia="Arial" w:hAnsi="Arial"/>
                <w:sz w:val="15"/>
                <w:szCs w:val="15"/>
                <w:color w:val="auto"/>
              </w:rPr>
              <w:t>5.7%</w:t>
            </w:r>
          </w:p>
        </w:tc>
      </w:tr>
      <w:tr>
        <w:trPr>
          <w:trHeight w:val="203"/>
        </w:trPr>
        <w:tc>
          <w:tcPr>
            <w:tcW w:w="5120" w:type="dxa"/>
            <w:vAlign w:val="bottom"/>
          </w:tcPr>
          <w:p>
            <w:pPr>
              <w:spacing w:after="0"/>
              <w:rPr>
                <w:sz w:val="20"/>
                <w:szCs w:val="20"/>
                <w:color w:val="auto"/>
              </w:rPr>
            </w:pPr>
            <w:r>
              <w:rPr>
                <w:rFonts w:ascii="Arial" w:cs="Arial" w:eastAsia="Arial" w:hAnsi="Arial"/>
                <w:sz w:val="15"/>
                <w:szCs w:val="15"/>
                <w:color w:val="auto"/>
              </w:rPr>
              <w:t>_______________________________</w:t>
            </w:r>
          </w:p>
        </w:tc>
        <w:tc>
          <w:tcPr>
            <w:tcW w:w="2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pacing w:after="0" w:line="250" w:lineRule="exact"/>
        <w:rPr>
          <w:sz w:val="20"/>
          <w:szCs w:val="20"/>
          <w:color w:val="auto"/>
        </w:rPr>
      </w:pPr>
    </w:p>
    <w:p>
      <w:pPr>
        <w:ind w:left="530" w:hanging="530"/>
        <w:spacing w:after="0"/>
        <w:tabs>
          <w:tab w:leader="none" w:pos="530" w:val="left"/>
        </w:tabs>
        <w:numPr>
          <w:ilvl w:val="0"/>
          <w:numId w:val="2"/>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245"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The address of the beneficial owner is c/o NN, Inc., 2000 Waters Edge Drive, Johnson City, Tennessee 37604.</w:t>
      </w:r>
    </w:p>
    <w:p>
      <w:pPr>
        <w:spacing w:after="0" w:line="234"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Computed in accordance with Rule 13d-3 of the Securities Exchange Act of 1934, as amended.</w:t>
      </w:r>
    </w:p>
    <w:p>
      <w:pPr>
        <w:spacing w:after="0" w:line="234"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376,3000 shares of Common Stock subject to presently exercisable options and 15,000 shares of restricted Common Stock subject to risk of forfeiture.</w:t>
      </w:r>
    </w:p>
    <w:p>
      <w:pPr>
        <w:spacing w:after="0" w:line="234"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95,600 shares of Common Stock subject to presently exercisable options and 4,000 shares of restricted Common Stock subject to risk of forfeiture.</w:t>
      </w:r>
    </w:p>
    <w:p>
      <w:pPr>
        <w:spacing w:after="0" w:line="234"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76,850 shares of Common Stock subject to presently exercisable options and 4,000 shares of restricted Common Stock subject to risk of forfeiture.</w:t>
      </w:r>
    </w:p>
    <w:p>
      <w:pPr>
        <w:spacing w:after="0" w:line="234"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31,000 shares of Common Stock subject to presently exercisable options and 5,000 shares of restricted Common Stock subject to risk of forfeiture.</w:t>
      </w:r>
    </w:p>
    <w:p>
      <w:pPr>
        <w:spacing w:after="0" w:line="234" w:lineRule="exact"/>
        <w:rPr>
          <w:rFonts w:ascii="Arial" w:cs="Arial" w:eastAsia="Arial" w:hAnsi="Arial"/>
          <w:sz w:val="15"/>
          <w:szCs w:val="15"/>
          <w:color w:val="auto"/>
        </w:rPr>
      </w:pPr>
    </w:p>
    <w:p>
      <w:pPr>
        <w:ind w:left="550" w:right="20" w:hanging="195"/>
        <w:spacing w:after="0" w:line="276" w:lineRule="auto"/>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53,000 shares of Common Stock subject to presently exercisable options and 5,000 shares of restricted Common Stock subject to risk of forfeiture and 2,500 shares of Common Stock owned by Mr. Trombetti’s spouse.</w:t>
      </w:r>
    </w:p>
    <w:p>
      <w:pPr>
        <w:spacing w:after="0" w:line="190"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53,000 shares of Common Stock subject to presently exercisable options and 5,287 shares of Common stock owned by Mr. Werner’s spouse.</w:t>
      </w:r>
    </w:p>
    <w:p>
      <w:pPr>
        <w:spacing w:after="0" w:line="234" w:lineRule="exact"/>
        <w:rPr>
          <w:rFonts w:ascii="Arial" w:cs="Arial" w:eastAsia="Arial" w:hAnsi="Arial"/>
          <w:sz w:val="15"/>
          <w:szCs w:val="15"/>
          <w:color w:val="auto"/>
        </w:rPr>
      </w:pPr>
    </w:p>
    <w:p>
      <w:pPr>
        <w:ind w:left="550" w:hanging="19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53,000 shares of Common Stock subject to presently exercisable options.</w:t>
      </w:r>
    </w:p>
    <w:p>
      <w:pPr>
        <w:spacing w:after="0" w:line="234" w:lineRule="exact"/>
        <w:rPr>
          <w:rFonts w:ascii="Arial" w:cs="Arial" w:eastAsia="Arial" w:hAnsi="Arial"/>
          <w:sz w:val="15"/>
          <w:szCs w:val="15"/>
          <w:color w:val="auto"/>
        </w:rPr>
      </w:pPr>
    </w:p>
    <w:p>
      <w:pPr>
        <w:ind w:left="550" w:hanging="271"/>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53,000 shares of Common Stock subject to presently exercisable options.</w:t>
      </w:r>
    </w:p>
    <w:p>
      <w:pPr>
        <w:spacing w:after="0" w:line="234" w:lineRule="exact"/>
        <w:rPr>
          <w:rFonts w:ascii="Arial" w:cs="Arial" w:eastAsia="Arial" w:hAnsi="Arial"/>
          <w:sz w:val="15"/>
          <w:szCs w:val="15"/>
          <w:color w:val="auto"/>
        </w:rPr>
      </w:pPr>
    </w:p>
    <w:p>
      <w:pPr>
        <w:ind w:left="550" w:hanging="265"/>
        <w:spacing w:after="0"/>
        <w:tabs>
          <w:tab w:leader="none" w:pos="550" w:val="left"/>
        </w:tabs>
        <w:numPr>
          <w:ilvl w:val="1"/>
          <w:numId w:val="2"/>
        </w:numPr>
        <w:rPr>
          <w:rFonts w:ascii="Arial" w:cs="Arial" w:eastAsia="Arial" w:hAnsi="Arial"/>
          <w:sz w:val="15"/>
          <w:szCs w:val="15"/>
          <w:color w:val="auto"/>
        </w:rPr>
      </w:pPr>
      <w:r>
        <w:rPr>
          <w:rFonts w:ascii="Arial" w:cs="Arial" w:eastAsia="Arial" w:hAnsi="Arial"/>
          <w:sz w:val="15"/>
          <w:szCs w:val="15"/>
          <w:color w:val="auto"/>
        </w:rPr>
        <w:t>Includes 33,000 shares of Common Stock subject to presently exercisable options.</w:t>
      </w:r>
    </w:p>
    <w:p>
      <w:pPr>
        <w:spacing w:after="0" w:line="229"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125"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238" w:lineRule="exact"/>
        <w:rPr>
          <w:sz w:val="20"/>
          <w:szCs w:val="20"/>
          <w:color w:val="auto"/>
        </w:rPr>
      </w:pPr>
    </w:p>
    <w:p>
      <w:pPr>
        <w:ind w:right="280" w:firstLine="542"/>
        <w:spacing w:after="0" w:line="276" w:lineRule="auto"/>
        <w:rPr>
          <w:sz w:val="20"/>
          <w:szCs w:val="20"/>
          <w:color w:val="auto"/>
        </w:rPr>
      </w:pPr>
      <w:r>
        <w:rPr>
          <w:rFonts w:ascii="Arial" w:cs="Arial" w:eastAsia="Arial" w:hAnsi="Arial"/>
          <w:sz w:val="15"/>
          <w:szCs w:val="15"/>
          <w:color w:val="auto"/>
        </w:rPr>
        <w:t>The following table sets forth the number of shares of the Company's Common Stock beneficially owned by the only parties known to the Company's management to own more than 5% of the Company's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ind w:left="2060"/>
              <w:spacing w:after="0"/>
              <w:rPr>
                <w:sz w:val="20"/>
                <w:szCs w:val="20"/>
                <w:color w:val="auto"/>
              </w:rPr>
            </w:pPr>
            <w:r>
              <w:rPr>
                <w:rFonts w:ascii="Arial" w:cs="Arial" w:eastAsia="Arial" w:hAnsi="Arial"/>
                <w:sz w:val="15"/>
                <w:szCs w:val="15"/>
                <w:b w:val="1"/>
                <w:bCs w:val="1"/>
                <w:color w:val="auto"/>
              </w:rPr>
              <w:t>Name and Address of</w:t>
            </w:r>
          </w:p>
        </w:tc>
        <w:tc>
          <w:tcPr>
            <w:tcW w:w="3600" w:type="dxa"/>
            <w:vAlign w:val="bottom"/>
          </w:tcPr>
          <w:p>
            <w:pPr>
              <w:jc w:val="right"/>
              <w:ind w:right="885"/>
              <w:spacing w:after="0"/>
              <w:rPr>
                <w:sz w:val="20"/>
                <w:szCs w:val="20"/>
                <w:color w:val="auto"/>
              </w:rPr>
            </w:pPr>
            <w:r>
              <w:rPr>
                <w:rFonts w:ascii="Arial" w:cs="Arial" w:eastAsia="Arial" w:hAnsi="Arial"/>
                <w:sz w:val="15"/>
                <w:szCs w:val="15"/>
                <w:b w:val="1"/>
                <w:bCs w:val="1"/>
                <w:color w:val="auto"/>
              </w:rPr>
              <w:t>Number of Shares</w:t>
            </w:r>
          </w:p>
        </w:tc>
        <w:tc>
          <w:tcPr>
            <w:tcW w:w="2960" w:type="dxa"/>
            <w:vAlign w:val="bottom"/>
          </w:tcPr>
          <w:p>
            <w:pPr>
              <w:jc w:val="center"/>
              <w:ind w:right="25"/>
              <w:spacing w:after="0"/>
              <w:rPr>
                <w:sz w:val="20"/>
                <w:szCs w:val="20"/>
                <w:color w:val="auto"/>
              </w:rPr>
            </w:pPr>
            <w:r>
              <w:rPr>
                <w:rFonts w:ascii="Arial" w:cs="Arial" w:eastAsia="Arial" w:hAnsi="Arial"/>
                <w:sz w:val="15"/>
                <w:szCs w:val="15"/>
                <w:b w:val="1"/>
                <w:bCs w:val="1"/>
                <w:color w:val="auto"/>
                <w:w w:val="86"/>
              </w:rPr>
              <w:t>Percentage</w:t>
            </w:r>
          </w:p>
        </w:tc>
      </w:tr>
      <w:tr>
        <w:trPr>
          <w:trHeight w:val="195"/>
        </w:trPr>
        <w:tc>
          <w:tcPr>
            <w:tcW w:w="4880" w:type="dxa"/>
            <w:vAlign w:val="bottom"/>
            <w:tcBorders>
              <w:bottom w:val="single" w:sz="8" w:color="auto"/>
            </w:tcBorders>
          </w:tcPr>
          <w:p>
            <w:pPr>
              <w:ind w:left="2180"/>
              <w:spacing w:after="0"/>
              <w:rPr>
                <w:sz w:val="20"/>
                <w:szCs w:val="20"/>
                <w:color w:val="auto"/>
              </w:rPr>
            </w:pPr>
            <w:r>
              <w:rPr>
                <w:rFonts w:ascii="Arial" w:cs="Arial" w:eastAsia="Arial" w:hAnsi="Arial"/>
                <w:sz w:val="15"/>
                <w:szCs w:val="15"/>
                <w:b w:val="1"/>
                <w:bCs w:val="1"/>
                <w:color w:val="auto"/>
              </w:rPr>
              <w:t>Beneficial Owner</w:t>
            </w:r>
          </w:p>
        </w:tc>
        <w:tc>
          <w:tcPr>
            <w:tcW w:w="36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b w:val="1"/>
                <w:bCs w:val="1"/>
                <w:color w:val="auto"/>
              </w:rPr>
              <w:t>Beneficially Owned</w:t>
            </w:r>
          </w:p>
        </w:tc>
        <w:tc>
          <w:tcPr>
            <w:tcW w:w="296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auto"/>
                <w:w w:val="91"/>
              </w:rPr>
              <w:t>Beneficially Owned</w:t>
            </w:r>
          </w:p>
        </w:tc>
      </w:tr>
      <w:tr>
        <w:trPr>
          <w:trHeight w:val="366"/>
        </w:trPr>
        <w:tc>
          <w:tcPr>
            <w:tcW w:w="4880" w:type="dxa"/>
            <w:vAlign w:val="bottom"/>
          </w:tcPr>
          <w:p>
            <w:pPr>
              <w:spacing w:after="0"/>
              <w:rPr>
                <w:sz w:val="20"/>
                <w:szCs w:val="20"/>
                <w:color w:val="auto"/>
              </w:rPr>
            </w:pPr>
            <w:r>
              <w:rPr>
                <w:rFonts w:ascii="Arial" w:cs="Arial" w:eastAsia="Arial" w:hAnsi="Arial"/>
                <w:sz w:val="15"/>
                <w:szCs w:val="15"/>
                <w:color w:val="auto"/>
              </w:rPr>
              <w:t>Wells Capital Management Incorporated</w:t>
            </w:r>
          </w:p>
        </w:tc>
        <w:tc>
          <w:tcPr>
            <w:tcW w:w="3600" w:type="dxa"/>
            <w:vAlign w:val="bottom"/>
          </w:tcPr>
          <w:p>
            <w:pPr>
              <w:jc w:val="right"/>
              <w:ind w:right="705"/>
              <w:spacing w:after="0"/>
              <w:rPr>
                <w:sz w:val="20"/>
                <w:szCs w:val="20"/>
                <w:color w:val="auto"/>
              </w:rPr>
            </w:pPr>
            <w:r>
              <w:rPr>
                <w:rFonts w:ascii="Arial" w:cs="Arial" w:eastAsia="Arial" w:hAnsi="Arial"/>
                <w:sz w:val="15"/>
                <w:szCs w:val="15"/>
                <w:color w:val="auto"/>
              </w:rPr>
              <w:t>1,977,150(1)</w:t>
            </w:r>
          </w:p>
        </w:tc>
        <w:tc>
          <w:tcPr>
            <w:tcW w:w="2960" w:type="dxa"/>
            <w:vAlign w:val="bottom"/>
          </w:tcPr>
          <w:p>
            <w:pPr>
              <w:jc w:val="center"/>
              <w:ind w:right="25"/>
              <w:spacing w:after="0"/>
              <w:rPr>
                <w:sz w:val="20"/>
                <w:szCs w:val="20"/>
                <w:color w:val="auto"/>
              </w:rPr>
            </w:pPr>
            <w:r>
              <w:rPr>
                <w:rFonts w:ascii="Arial" w:cs="Arial" w:eastAsia="Arial" w:hAnsi="Arial"/>
                <w:sz w:val="15"/>
                <w:szCs w:val="15"/>
                <w:color w:val="auto"/>
                <w:w w:val="89"/>
              </w:rPr>
              <w:t>11.5%</w:t>
            </w: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525 Market Street</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10th Floor</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San Francisco, CA 94104</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DePrince, Race &amp; Zollo, Inc</w:t>
            </w:r>
          </w:p>
        </w:tc>
        <w:tc>
          <w:tcPr>
            <w:tcW w:w="3600" w:type="dxa"/>
            <w:vAlign w:val="bottom"/>
          </w:tcPr>
          <w:p>
            <w:pPr>
              <w:jc w:val="right"/>
              <w:ind w:right="705"/>
              <w:spacing w:after="0"/>
              <w:rPr>
                <w:sz w:val="20"/>
                <w:szCs w:val="20"/>
                <w:color w:val="auto"/>
              </w:rPr>
            </w:pPr>
            <w:r>
              <w:rPr>
                <w:rFonts w:ascii="Arial" w:cs="Arial" w:eastAsia="Arial" w:hAnsi="Arial"/>
                <w:sz w:val="15"/>
                <w:szCs w:val="15"/>
                <w:color w:val="auto"/>
              </w:rPr>
              <w:t>1,868,221(2)</w:t>
            </w:r>
          </w:p>
        </w:tc>
        <w:tc>
          <w:tcPr>
            <w:tcW w:w="2960" w:type="dxa"/>
            <w:vAlign w:val="bottom"/>
          </w:tcPr>
          <w:p>
            <w:pPr>
              <w:jc w:val="center"/>
              <w:ind w:right="25"/>
              <w:spacing w:after="0"/>
              <w:rPr>
                <w:sz w:val="20"/>
                <w:szCs w:val="20"/>
                <w:color w:val="auto"/>
              </w:rPr>
            </w:pPr>
            <w:r>
              <w:rPr>
                <w:rFonts w:ascii="Arial" w:cs="Arial" w:eastAsia="Arial" w:hAnsi="Arial"/>
                <w:sz w:val="15"/>
                <w:szCs w:val="15"/>
                <w:color w:val="auto"/>
                <w:w w:val="89"/>
              </w:rPr>
              <w:t>10.9%</w:t>
            </w: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201 S. Orange Avenue</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Suite 850</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Orlando, FL 32801</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Wellington Management Company, LLP</w:t>
            </w:r>
          </w:p>
        </w:tc>
        <w:tc>
          <w:tcPr>
            <w:tcW w:w="3600" w:type="dxa"/>
            <w:vAlign w:val="bottom"/>
          </w:tcPr>
          <w:p>
            <w:pPr>
              <w:jc w:val="right"/>
              <w:ind w:right="705"/>
              <w:spacing w:after="0"/>
              <w:rPr>
                <w:sz w:val="20"/>
                <w:szCs w:val="20"/>
                <w:color w:val="auto"/>
              </w:rPr>
            </w:pPr>
            <w:r>
              <w:rPr>
                <w:rFonts w:ascii="Arial" w:cs="Arial" w:eastAsia="Arial" w:hAnsi="Arial"/>
                <w:sz w:val="15"/>
                <w:szCs w:val="15"/>
                <w:color w:val="auto"/>
              </w:rPr>
              <w:t>1,415,900(3)</w:t>
            </w:r>
          </w:p>
        </w:tc>
        <w:tc>
          <w:tcPr>
            <w:tcW w:w="2960" w:type="dxa"/>
            <w:vAlign w:val="bottom"/>
          </w:tcPr>
          <w:p>
            <w:pPr>
              <w:jc w:val="center"/>
              <w:ind w:right="45"/>
              <w:spacing w:after="0"/>
              <w:rPr>
                <w:sz w:val="20"/>
                <w:szCs w:val="20"/>
                <w:color w:val="auto"/>
              </w:rPr>
            </w:pPr>
            <w:r>
              <w:rPr>
                <w:rFonts w:ascii="Arial" w:cs="Arial" w:eastAsia="Arial" w:hAnsi="Arial"/>
                <w:sz w:val="15"/>
                <w:szCs w:val="15"/>
                <w:color w:val="auto"/>
                <w:w w:val="93"/>
              </w:rPr>
              <w:t>8.2%</w:t>
            </w: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75 State Street</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Boston, MA 02109</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The TCW Group, Inc.,</w:t>
            </w:r>
          </w:p>
        </w:tc>
        <w:tc>
          <w:tcPr>
            <w:tcW w:w="3600" w:type="dxa"/>
            <w:vAlign w:val="bottom"/>
          </w:tcPr>
          <w:p>
            <w:pPr>
              <w:jc w:val="right"/>
              <w:ind w:right="705"/>
              <w:spacing w:after="0"/>
              <w:rPr>
                <w:sz w:val="20"/>
                <w:szCs w:val="20"/>
                <w:color w:val="auto"/>
              </w:rPr>
            </w:pPr>
            <w:r>
              <w:rPr>
                <w:rFonts w:ascii="Arial" w:cs="Arial" w:eastAsia="Arial" w:hAnsi="Arial"/>
                <w:sz w:val="15"/>
                <w:szCs w:val="15"/>
                <w:color w:val="auto"/>
              </w:rPr>
              <w:t>1,237,257(4)</w:t>
            </w:r>
          </w:p>
        </w:tc>
        <w:tc>
          <w:tcPr>
            <w:tcW w:w="2960" w:type="dxa"/>
            <w:vAlign w:val="bottom"/>
          </w:tcPr>
          <w:p>
            <w:pPr>
              <w:jc w:val="center"/>
              <w:ind w:right="45"/>
              <w:spacing w:after="0"/>
              <w:rPr>
                <w:sz w:val="20"/>
                <w:szCs w:val="20"/>
                <w:color w:val="auto"/>
              </w:rPr>
            </w:pPr>
            <w:r>
              <w:rPr>
                <w:rFonts w:ascii="Arial" w:cs="Arial" w:eastAsia="Arial" w:hAnsi="Arial"/>
                <w:sz w:val="15"/>
                <w:szCs w:val="15"/>
                <w:color w:val="auto"/>
                <w:w w:val="93"/>
              </w:rPr>
              <w:t>7.2%</w:t>
            </w: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on Behalf of the TCW Business Unit</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865 South Figueroa Street</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4880" w:type="dxa"/>
            <w:vAlign w:val="bottom"/>
          </w:tcPr>
          <w:p>
            <w:pPr>
              <w:spacing w:after="0"/>
              <w:rPr>
                <w:sz w:val="20"/>
                <w:szCs w:val="20"/>
                <w:color w:val="auto"/>
              </w:rPr>
            </w:pPr>
            <w:r>
              <w:rPr>
                <w:rFonts w:ascii="Arial" w:cs="Arial" w:eastAsia="Arial" w:hAnsi="Arial"/>
                <w:sz w:val="15"/>
                <w:szCs w:val="15"/>
                <w:color w:val="auto"/>
              </w:rPr>
              <w:t>Los Angeles, CA 90017</w:t>
            </w:r>
          </w:p>
        </w:tc>
        <w:tc>
          <w:tcPr>
            <w:tcW w:w="360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90"/>
        </w:trPr>
        <w:tc>
          <w:tcPr>
            <w:tcW w:w="4880" w:type="dxa"/>
            <w:vAlign w:val="bottom"/>
          </w:tcPr>
          <w:p>
            <w:pPr>
              <w:spacing w:after="0"/>
              <w:rPr>
                <w:sz w:val="20"/>
                <w:szCs w:val="20"/>
                <w:color w:val="auto"/>
              </w:rPr>
            </w:pPr>
            <w:r>
              <w:rPr>
                <w:rFonts w:ascii="Arial" w:cs="Arial" w:eastAsia="Arial" w:hAnsi="Arial"/>
                <w:sz w:val="15"/>
                <w:szCs w:val="15"/>
                <w:color w:val="auto"/>
              </w:rPr>
              <w:t>_______________________________</w:t>
            </w:r>
          </w:p>
        </w:tc>
        <w:tc>
          <w:tcPr>
            <w:tcW w:w="3600" w:type="dxa"/>
            <w:vAlign w:val="bottom"/>
          </w:tcPr>
          <w:p>
            <w:pPr>
              <w:spacing w:after="0"/>
              <w:rPr>
                <w:sz w:val="16"/>
                <w:szCs w:val="16"/>
                <w:color w:val="auto"/>
              </w:rPr>
            </w:pPr>
          </w:p>
        </w:tc>
        <w:tc>
          <w:tcPr>
            <w:tcW w:w="2960" w:type="dxa"/>
            <w:vAlign w:val="bottom"/>
          </w:tcPr>
          <w:p>
            <w:pPr>
              <w:spacing w:after="0"/>
              <w:rPr>
                <w:sz w:val="16"/>
                <w:szCs w:val="16"/>
                <w:color w:val="auto"/>
              </w:rPr>
            </w:pPr>
          </w:p>
        </w:tc>
      </w:tr>
    </w:tbl>
    <w:p>
      <w:pPr>
        <w:spacing w:after="0" w:line="217" w:lineRule="exact"/>
        <w:rPr>
          <w:sz w:val="20"/>
          <w:szCs w:val="20"/>
          <w:color w:val="auto"/>
        </w:rPr>
      </w:pPr>
    </w:p>
    <w:p>
      <w:pPr>
        <w:ind w:left="540" w:hanging="195"/>
        <w:spacing w:after="0" w:line="276"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Amount based on Schedule 13G filed on February 3, 2006 with the Securities and Exchange Commission by Wells Fargo &amp; Company, on behalf of Wells Capital Management Incorporated, its subsidiary.</w:t>
      </w:r>
    </w:p>
    <w:p>
      <w:pPr>
        <w:spacing w:after="0" w:line="190" w:lineRule="exact"/>
        <w:rPr>
          <w:rFonts w:ascii="Arial" w:cs="Arial" w:eastAsia="Arial" w:hAnsi="Arial"/>
          <w:sz w:val="15"/>
          <w:szCs w:val="15"/>
          <w:color w:val="auto"/>
        </w:rPr>
      </w:pPr>
    </w:p>
    <w:p>
      <w:pPr>
        <w:ind w:left="540" w:hanging="195"/>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Amount based on Schedule 13G filed on February 7, 2006 with the Securities and Exchange Commission by DePrince, Race &amp; Zollo, Inc.</w:t>
      </w:r>
    </w:p>
    <w:p>
      <w:pPr>
        <w:spacing w:after="0" w:line="234" w:lineRule="exact"/>
        <w:rPr>
          <w:rFonts w:ascii="Arial" w:cs="Arial" w:eastAsia="Arial" w:hAnsi="Arial"/>
          <w:sz w:val="15"/>
          <w:szCs w:val="15"/>
          <w:color w:val="auto"/>
        </w:rPr>
      </w:pPr>
    </w:p>
    <w:p>
      <w:pPr>
        <w:jc w:val="both"/>
        <w:ind w:left="540" w:hanging="195"/>
        <w:spacing w:after="0" w:line="263"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Amount based on Schedule 13G filed on February 14, 2006 with the Securities and Exchange Commission by Wellington Management Company, LLP. Includes 783,900 shares for which Wellington Management Company, LLP reports shared voting power with the beneficial owners of such shares and 1,415,900 shares for which Wellington Management Company, LLP reports shared dispositive power with the beneficial owners of such shares.</w:t>
      </w:r>
    </w:p>
    <w:p>
      <w:pPr>
        <w:spacing w:after="0" w:line="201" w:lineRule="exact"/>
        <w:rPr>
          <w:rFonts w:ascii="Arial" w:cs="Arial" w:eastAsia="Arial" w:hAnsi="Arial"/>
          <w:sz w:val="15"/>
          <w:szCs w:val="15"/>
          <w:color w:val="auto"/>
        </w:rPr>
      </w:pPr>
    </w:p>
    <w:p>
      <w:pPr>
        <w:jc w:val="both"/>
        <w:ind w:left="540" w:hanging="195"/>
        <w:spacing w:after="0" w:line="291"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based on Schedule 13G filed on February 13, 2006 with the Securities and Exchange Commission by The TCW Group, Inc., on behalf of the TCW Business Unit. Includes 934,462 shares for which The TCW Group, Inc., on behalf of the TCW Business Unit, reports shared voting power with the beneficial owners of such shares and 1,237,257 shares for which The TCW Group, Inc., on behalf of the TCW Business Unit, reports shared dispositive power with the beneficial owners of such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238" w:lineRule="exact"/>
        <w:rPr>
          <w:sz w:val="20"/>
          <w:szCs w:val="20"/>
          <w:color w:val="auto"/>
        </w:rPr>
      </w:pPr>
    </w:p>
    <w:p>
      <w:pPr>
        <w:ind w:right="20" w:firstLine="542"/>
        <w:spacing w:after="0" w:line="263" w:lineRule="auto"/>
        <w:rPr>
          <w:sz w:val="20"/>
          <w:szCs w:val="20"/>
          <w:color w:val="auto"/>
        </w:rPr>
      </w:pPr>
      <w:r>
        <w:rPr>
          <w:rFonts w:ascii="Arial" w:cs="Arial" w:eastAsia="Arial" w:hAnsi="Arial"/>
          <w:sz w:val="15"/>
          <w:szCs w:val="15"/>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201" w:lineRule="exact"/>
        <w:rPr>
          <w:sz w:val="20"/>
          <w:szCs w:val="20"/>
          <w:color w:val="auto"/>
        </w:rPr>
      </w:pPr>
    </w:p>
    <w:p>
      <w:pPr>
        <w:ind w:right="840" w:firstLine="542"/>
        <w:spacing w:after="0" w:line="276" w:lineRule="auto"/>
        <w:rPr>
          <w:sz w:val="20"/>
          <w:szCs w:val="20"/>
          <w:color w:val="auto"/>
        </w:rPr>
      </w:pPr>
      <w:r>
        <w:rPr>
          <w:rFonts w:ascii="Arial" w:cs="Arial" w:eastAsia="Arial" w:hAnsi="Arial"/>
          <w:sz w:val="15"/>
          <w:szCs w:val="15"/>
          <w:color w:val="auto"/>
        </w:rPr>
        <w:t>Based solely on its review of the copies of these reports furnished to the Company for the year ended December 31, 2005, the Company is not aware of any instance of noncompliance with Section 16(a) by its directors, executive officers or owners of more than 10% of the Common Stock.</w:t>
      </w:r>
    </w:p>
    <w:p>
      <w:pPr>
        <w:spacing w:after="0" w:line="187"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EXECUTIVE COMPENSATION</w:t>
      </w:r>
    </w:p>
    <w:p>
      <w:pPr>
        <w:spacing w:after="0" w:line="238" w:lineRule="exact"/>
        <w:rPr>
          <w:sz w:val="20"/>
          <w:szCs w:val="20"/>
          <w:color w:val="auto"/>
        </w:rPr>
      </w:pPr>
    </w:p>
    <w:p>
      <w:pPr>
        <w:ind w:right="180" w:firstLine="542"/>
        <w:spacing w:after="0" w:line="263" w:lineRule="auto"/>
        <w:rPr>
          <w:sz w:val="20"/>
          <w:szCs w:val="20"/>
          <w:color w:val="auto"/>
        </w:rPr>
      </w:pPr>
      <w:r>
        <w:rPr>
          <w:rFonts w:ascii="Arial" w:cs="Arial" w:eastAsia="Arial" w:hAnsi="Arial"/>
          <w:sz w:val="15"/>
          <w:szCs w:val="15"/>
          <w:color w:val="auto"/>
        </w:rPr>
        <w:t>The following table sets forth for the years ended December 31, 2005, 2004 and 2003, information concerning the compensation paid for services rendered in all capacities by the Company to its Chief Executive Officer and to each of the other four most highly compensated executive officers of the Company whose annual salary and bonus in 2005 exceeded $100,000.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3460" w:type="dxa"/>
            <w:vAlign w:val="bottom"/>
            <w:gridSpan w:val="3"/>
          </w:tcPr>
          <w:p>
            <w:pPr>
              <w:ind w:left="540"/>
              <w:spacing w:after="0"/>
              <w:rPr>
                <w:sz w:val="20"/>
                <w:szCs w:val="20"/>
                <w:color w:val="auto"/>
              </w:rPr>
            </w:pPr>
            <w:r>
              <w:rPr>
                <w:rFonts w:ascii="Arial" w:cs="Arial" w:eastAsia="Arial" w:hAnsi="Arial"/>
                <w:sz w:val="15"/>
                <w:szCs w:val="15"/>
                <w:b w:val="1"/>
                <w:bCs w:val="1"/>
                <w:color w:val="auto"/>
              </w:rPr>
              <w:t>SUMMARY COMPENSATION TABLE</w:t>
            </w:r>
          </w:p>
        </w:tc>
        <w:tc>
          <w:tcPr>
            <w:tcW w:w="2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3"/>
        </w:trPr>
        <w:tc>
          <w:tcPr>
            <w:tcW w:w="3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jc w:val="right"/>
              <w:ind w:right="345"/>
              <w:spacing w:after="0"/>
              <w:rPr>
                <w:sz w:val="20"/>
                <w:szCs w:val="20"/>
                <w:color w:val="auto"/>
              </w:rPr>
            </w:pPr>
            <w:r>
              <w:rPr>
                <w:rFonts w:ascii="Arial" w:cs="Arial" w:eastAsia="Arial" w:hAnsi="Arial"/>
                <w:sz w:val="15"/>
                <w:szCs w:val="15"/>
                <w:b w:val="1"/>
                <w:bCs w:val="1"/>
                <w:color w:val="auto"/>
              </w:rPr>
              <w:t>Long-Term</w:t>
            </w:r>
          </w:p>
        </w:tc>
        <w:tc>
          <w:tcPr>
            <w:tcW w:w="680" w:type="dxa"/>
            <w:vAlign w:val="bottom"/>
          </w:tcPr>
          <w:p>
            <w:pPr>
              <w:spacing w:after="0"/>
              <w:rPr>
                <w:sz w:val="24"/>
                <w:szCs w:val="24"/>
                <w:color w:val="auto"/>
              </w:rPr>
            </w:pPr>
          </w:p>
        </w:tc>
        <w:tc>
          <w:tcPr>
            <w:tcW w:w="1320" w:type="dxa"/>
            <w:vAlign w:val="bottom"/>
          </w:tcPr>
          <w:p>
            <w:pPr>
              <w:jc w:val="center"/>
              <w:ind w:right="65"/>
              <w:spacing w:after="0"/>
              <w:rPr>
                <w:sz w:val="20"/>
                <w:szCs w:val="20"/>
                <w:color w:val="auto"/>
              </w:rPr>
            </w:pPr>
            <w:r>
              <w:rPr>
                <w:rFonts w:ascii="Arial" w:cs="Arial" w:eastAsia="Arial" w:hAnsi="Arial"/>
                <w:sz w:val="15"/>
                <w:szCs w:val="15"/>
                <w:b w:val="1"/>
                <w:bCs w:val="1"/>
                <w:color w:val="auto"/>
                <w:w w:val="97"/>
              </w:rPr>
              <w:t>All Other</w:t>
            </w:r>
          </w:p>
        </w:tc>
      </w:tr>
      <w:tr>
        <w:trPr>
          <w:trHeight w:val="181"/>
        </w:trPr>
        <w:tc>
          <w:tcPr>
            <w:tcW w:w="3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Annual Compensation</w:t>
            </w:r>
          </w:p>
        </w:tc>
        <w:tc>
          <w:tcPr>
            <w:tcW w:w="5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5"/>
                <w:szCs w:val="15"/>
                <w:b w:val="1"/>
                <w:bCs w:val="1"/>
                <w:color w:val="auto"/>
              </w:rPr>
              <w:t>Compensation Awards</w:t>
            </w:r>
          </w:p>
        </w:tc>
        <w:tc>
          <w:tcPr>
            <w:tcW w:w="680" w:type="dxa"/>
            <w:vAlign w:val="bottom"/>
          </w:tcPr>
          <w:p>
            <w:pPr>
              <w:spacing w:after="0"/>
              <w:rPr>
                <w:sz w:val="15"/>
                <w:szCs w:val="15"/>
                <w:color w:val="auto"/>
              </w:rPr>
            </w:pPr>
          </w:p>
        </w:tc>
        <w:tc>
          <w:tcPr>
            <w:tcW w:w="1320" w:type="dxa"/>
            <w:vAlign w:val="bottom"/>
          </w:tcPr>
          <w:p>
            <w:pPr>
              <w:jc w:val="center"/>
              <w:ind w:right="65"/>
              <w:spacing w:after="0"/>
              <w:rPr>
                <w:sz w:val="20"/>
                <w:szCs w:val="20"/>
                <w:color w:val="auto"/>
              </w:rPr>
            </w:pPr>
            <w:r>
              <w:rPr>
                <w:rFonts w:ascii="Arial" w:cs="Arial" w:eastAsia="Arial" w:hAnsi="Arial"/>
                <w:sz w:val="15"/>
                <w:szCs w:val="15"/>
                <w:b w:val="1"/>
                <w:bCs w:val="1"/>
                <w:color w:val="auto"/>
                <w:w w:val="90"/>
              </w:rPr>
              <w:t>Compensation</w:t>
            </w:r>
          </w:p>
        </w:tc>
      </w:tr>
      <w:tr>
        <w:trPr>
          <w:trHeight w:val="195"/>
        </w:trPr>
        <w:tc>
          <w:tcPr>
            <w:tcW w:w="3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 and Principal Position</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Year</w:t>
            </w:r>
          </w:p>
        </w:tc>
        <w:tc>
          <w:tcPr>
            <w:tcW w:w="19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Salary ($) Bonus ($)</w:t>
            </w: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90"/>
              </w:rPr>
              <w:t>Options (#) Restricted ($)(1)</w:t>
            </w: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92"/>
              </w:rPr>
              <w:t>($) (2)</w:t>
            </w:r>
          </w:p>
        </w:tc>
      </w:tr>
      <w:tr>
        <w:trPr>
          <w:trHeight w:val="366"/>
        </w:trPr>
        <w:tc>
          <w:tcPr>
            <w:tcW w:w="3880" w:type="dxa"/>
            <w:vAlign w:val="bottom"/>
          </w:tcPr>
          <w:p>
            <w:pPr>
              <w:spacing w:after="0"/>
              <w:rPr>
                <w:sz w:val="20"/>
                <w:szCs w:val="20"/>
                <w:color w:val="auto"/>
              </w:rPr>
            </w:pPr>
            <w:r>
              <w:rPr>
                <w:rFonts w:ascii="Arial" w:cs="Arial" w:eastAsia="Arial" w:hAnsi="Arial"/>
                <w:sz w:val="15"/>
                <w:szCs w:val="15"/>
                <w:color w:val="auto"/>
              </w:rPr>
              <w:t>Roderick R. Baty</w:t>
            </w:r>
          </w:p>
        </w:tc>
        <w:tc>
          <w:tcPr>
            <w:tcW w:w="980" w:type="dxa"/>
            <w:vAlign w:val="bottom"/>
          </w:tcPr>
          <w:p>
            <w:pPr>
              <w:ind w:left="240"/>
              <w:spacing w:after="0"/>
              <w:rPr>
                <w:sz w:val="20"/>
                <w:szCs w:val="20"/>
                <w:color w:val="auto"/>
              </w:rPr>
            </w:pPr>
            <w:r>
              <w:rPr>
                <w:rFonts w:ascii="Arial" w:cs="Arial" w:eastAsia="Arial" w:hAnsi="Arial"/>
                <w:sz w:val="15"/>
                <w:szCs w:val="15"/>
                <w:color w:val="auto"/>
              </w:rPr>
              <w:t>2005</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393,568</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200,000</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35,000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w w:val="95"/>
              </w:rPr>
              <w:t>190,500</w:t>
            </w:r>
          </w:p>
        </w:tc>
        <w:tc>
          <w:tcPr>
            <w:tcW w:w="1320" w:type="dxa"/>
            <w:vAlign w:val="bottom"/>
          </w:tcPr>
          <w:p>
            <w:pPr>
              <w:jc w:val="right"/>
              <w:spacing w:after="0"/>
              <w:rPr>
                <w:sz w:val="20"/>
                <w:szCs w:val="20"/>
                <w:color w:val="auto"/>
              </w:rPr>
            </w:pPr>
            <w:r>
              <w:rPr>
                <w:rFonts w:ascii="Arial" w:cs="Arial" w:eastAsia="Arial" w:hAnsi="Arial"/>
                <w:sz w:val="15"/>
                <w:szCs w:val="15"/>
                <w:color w:val="auto"/>
              </w:rPr>
              <w:t>4,890 (3)</w:t>
            </w:r>
          </w:p>
        </w:tc>
      </w:tr>
      <w:tr>
        <w:trPr>
          <w:trHeight w:val="181"/>
        </w:trPr>
        <w:tc>
          <w:tcPr>
            <w:tcW w:w="3880" w:type="dxa"/>
            <w:vAlign w:val="bottom"/>
          </w:tcPr>
          <w:p>
            <w:pPr>
              <w:spacing w:after="0"/>
              <w:rPr>
                <w:sz w:val="20"/>
                <w:szCs w:val="20"/>
                <w:color w:val="auto"/>
              </w:rPr>
            </w:pPr>
            <w:r>
              <w:rPr>
                <w:rFonts w:ascii="Arial" w:cs="Arial" w:eastAsia="Arial" w:hAnsi="Arial"/>
                <w:sz w:val="15"/>
                <w:szCs w:val="15"/>
                <w:color w:val="auto"/>
              </w:rPr>
              <w:t>Chairman/Chief Executive Officer/President</w:t>
            </w:r>
          </w:p>
        </w:tc>
        <w:tc>
          <w:tcPr>
            <w:tcW w:w="980" w:type="dxa"/>
            <w:vAlign w:val="bottom"/>
          </w:tcPr>
          <w:p>
            <w:pPr>
              <w:ind w:left="240"/>
              <w:spacing w:after="0"/>
              <w:rPr>
                <w:sz w:val="20"/>
                <w:szCs w:val="20"/>
                <w:color w:val="auto"/>
              </w:rPr>
            </w:pPr>
            <w:r>
              <w:rPr>
                <w:rFonts w:ascii="Arial" w:cs="Arial" w:eastAsia="Arial" w:hAnsi="Arial"/>
                <w:sz w:val="15"/>
                <w:szCs w:val="15"/>
                <w:color w:val="auto"/>
              </w:rPr>
              <w:t>2004</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353,730</w:t>
            </w:r>
          </w:p>
        </w:tc>
        <w:tc>
          <w:tcPr>
            <w:tcW w:w="540" w:type="dxa"/>
            <w:vAlign w:val="bottom"/>
          </w:tcPr>
          <w:p>
            <w:pPr>
              <w:jc w:val="right"/>
              <w:spacing w:after="0"/>
              <w:rPr>
                <w:sz w:val="20"/>
                <w:szCs w:val="20"/>
                <w:color w:val="auto"/>
              </w:rPr>
            </w:pPr>
            <w:r>
              <w:rPr>
                <w:rFonts w:ascii="Arial" w:cs="Arial" w:eastAsia="Arial" w:hAnsi="Arial"/>
                <w:sz w:val="15"/>
                <w:szCs w:val="15"/>
                <w:color w:val="auto"/>
              </w:rPr>
              <w:t>0</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40,000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65"/>
              <w:spacing w:after="0"/>
              <w:rPr>
                <w:sz w:val="20"/>
                <w:szCs w:val="20"/>
                <w:color w:val="auto"/>
              </w:rPr>
            </w:pPr>
            <w:r>
              <w:rPr>
                <w:rFonts w:ascii="Arial" w:cs="Arial" w:eastAsia="Arial" w:hAnsi="Arial"/>
                <w:sz w:val="15"/>
                <w:szCs w:val="15"/>
                <w:color w:val="auto"/>
              </w:rPr>
              <w:t>4,852</w:t>
            </w:r>
          </w:p>
        </w:tc>
      </w:tr>
      <w:tr>
        <w:trPr>
          <w:trHeight w:val="190"/>
        </w:trPr>
        <w:tc>
          <w:tcPr>
            <w:tcW w:w="388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5"/>
                <w:szCs w:val="15"/>
                <w:color w:val="auto"/>
              </w:rPr>
              <w:t>2003</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319,000</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121,210</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65"/>
              <w:spacing w:after="0"/>
              <w:rPr>
                <w:sz w:val="20"/>
                <w:szCs w:val="20"/>
                <w:color w:val="auto"/>
              </w:rPr>
            </w:pPr>
            <w:r>
              <w:rPr>
                <w:rFonts w:ascii="Arial" w:cs="Arial" w:eastAsia="Arial" w:hAnsi="Arial"/>
                <w:sz w:val="15"/>
                <w:szCs w:val="15"/>
                <w:color w:val="auto"/>
              </w:rPr>
              <w:t>4,742</w:t>
            </w:r>
          </w:p>
        </w:tc>
      </w:tr>
      <w:tr>
        <w:trPr>
          <w:trHeight w:val="397"/>
        </w:trPr>
        <w:tc>
          <w:tcPr>
            <w:tcW w:w="3880" w:type="dxa"/>
            <w:vAlign w:val="bottom"/>
          </w:tcPr>
          <w:p>
            <w:pPr>
              <w:spacing w:after="0"/>
              <w:rPr>
                <w:sz w:val="20"/>
                <w:szCs w:val="20"/>
                <w:color w:val="auto"/>
              </w:rPr>
            </w:pPr>
            <w:r>
              <w:rPr>
                <w:rFonts w:ascii="Arial" w:cs="Arial" w:eastAsia="Arial" w:hAnsi="Arial"/>
                <w:sz w:val="15"/>
                <w:szCs w:val="15"/>
                <w:color w:val="auto"/>
              </w:rPr>
              <w:t>Nicola Trombetti</w:t>
            </w:r>
          </w:p>
        </w:tc>
        <w:tc>
          <w:tcPr>
            <w:tcW w:w="980" w:type="dxa"/>
            <w:vAlign w:val="bottom"/>
          </w:tcPr>
          <w:p>
            <w:pPr>
              <w:ind w:left="240"/>
              <w:spacing w:after="0"/>
              <w:rPr>
                <w:sz w:val="20"/>
                <w:szCs w:val="20"/>
                <w:color w:val="auto"/>
              </w:rPr>
            </w:pPr>
            <w:r>
              <w:rPr>
                <w:rFonts w:ascii="Arial" w:cs="Arial" w:eastAsia="Arial" w:hAnsi="Arial"/>
                <w:sz w:val="15"/>
                <w:szCs w:val="15"/>
                <w:color w:val="auto"/>
              </w:rPr>
              <w:t>2005</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310,772</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103,324</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15,000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63,500</w:t>
            </w:r>
          </w:p>
        </w:tc>
        <w:tc>
          <w:tcPr>
            <w:tcW w:w="1320" w:type="dxa"/>
            <w:vAlign w:val="bottom"/>
          </w:tcPr>
          <w:p>
            <w:pPr>
              <w:jc w:val="right"/>
              <w:spacing w:after="0"/>
              <w:rPr>
                <w:sz w:val="20"/>
                <w:szCs w:val="20"/>
                <w:color w:val="auto"/>
              </w:rPr>
            </w:pPr>
            <w:r>
              <w:rPr>
                <w:rFonts w:ascii="Arial" w:cs="Arial" w:eastAsia="Arial" w:hAnsi="Arial"/>
                <w:sz w:val="15"/>
                <w:szCs w:val="15"/>
                <w:color w:val="auto"/>
              </w:rPr>
              <w:t>2,302 (4)</w:t>
            </w:r>
          </w:p>
        </w:tc>
      </w:tr>
      <w:tr>
        <w:trPr>
          <w:trHeight w:val="181"/>
        </w:trPr>
        <w:tc>
          <w:tcPr>
            <w:tcW w:w="3880" w:type="dxa"/>
            <w:vAlign w:val="bottom"/>
          </w:tcPr>
          <w:p>
            <w:pPr>
              <w:spacing w:after="0"/>
              <w:rPr>
                <w:sz w:val="20"/>
                <w:szCs w:val="20"/>
                <w:color w:val="auto"/>
              </w:rPr>
            </w:pPr>
            <w:r>
              <w:rPr>
                <w:rFonts w:ascii="Arial" w:cs="Arial" w:eastAsia="Arial" w:hAnsi="Arial"/>
                <w:sz w:val="15"/>
                <w:szCs w:val="15"/>
                <w:color w:val="auto"/>
              </w:rPr>
              <w:t>Vice President and Managing Director of NN Europe</w:t>
            </w:r>
          </w:p>
        </w:tc>
        <w:tc>
          <w:tcPr>
            <w:tcW w:w="980" w:type="dxa"/>
            <w:vAlign w:val="bottom"/>
          </w:tcPr>
          <w:p>
            <w:pPr>
              <w:ind w:left="240"/>
              <w:spacing w:after="0"/>
              <w:rPr>
                <w:sz w:val="20"/>
                <w:szCs w:val="20"/>
                <w:color w:val="auto"/>
              </w:rPr>
            </w:pPr>
            <w:r>
              <w:rPr>
                <w:rFonts w:ascii="Arial" w:cs="Arial" w:eastAsia="Arial" w:hAnsi="Arial"/>
                <w:sz w:val="15"/>
                <w:szCs w:val="15"/>
                <w:color w:val="auto"/>
              </w:rPr>
              <w:t>2004</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259,759</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111,284</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13,000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65"/>
              <w:spacing w:after="0"/>
              <w:rPr>
                <w:sz w:val="20"/>
                <w:szCs w:val="20"/>
                <w:color w:val="auto"/>
              </w:rPr>
            </w:pPr>
            <w:r>
              <w:rPr>
                <w:rFonts w:ascii="Arial" w:cs="Arial" w:eastAsia="Arial" w:hAnsi="Arial"/>
                <w:sz w:val="15"/>
                <w:szCs w:val="15"/>
                <w:color w:val="auto"/>
              </w:rPr>
              <w:t>2,186</w:t>
            </w:r>
          </w:p>
        </w:tc>
      </w:tr>
      <w:tr>
        <w:trPr>
          <w:trHeight w:val="190"/>
        </w:trPr>
        <w:tc>
          <w:tcPr>
            <w:tcW w:w="388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5"/>
                <w:szCs w:val="15"/>
                <w:color w:val="auto"/>
              </w:rPr>
              <w:t>2003</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154,698</w:t>
            </w:r>
          </w:p>
        </w:tc>
        <w:tc>
          <w:tcPr>
            <w:tcW w:w="540" w:type="dxa"/>
            <w:vAlign w:val="bottom"/>
          </w:tcPr>
          <w:p>
            <w:pPr>
              <w:jc w:val="right"/>
              <w:spacing w:after="0"/>
              <w:rPr>
                <w:sz w:val="20"/>
                <w:szCs w:val="20"/>
                <w:color w:val="auto"/>
              </w:rPr>
            </w:pPr>
            <w:r>
              <w:rPr>
                <w:rFonts w:ascii="Arial" w:cs="Arial" w:eastAsia="Arial" w:hAnsi="Arial"/>
                <w:sz w:val="15"/>
                <w:szCs w:val="15"/>
                <w:color w:val="auto"/>
              </w:rPr>
              <w:t>34,902</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10,000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65"/>
              <w:spacing w:after="0"/>
              <w:rPr>
                <w:sz w:val="20"/>
                <w:szCs w:val="20"/>
                <w:color w:val="auto"/>
              </w:rPr>
            </w:pPr>
            <w:r>
              <w:rPr>
                <w:rFonts w:ascii="Arial" w:cs="Arial" w:eastAsia="Arial" w:hAnsi="Arial"/>
                <w:sz w:val="15"/>
                <w:szCs w:val="15"/>
                <w:color w:val="auto"/>
              </w:rPr>
              <w:t>1,175</w:t>
            </w:r>
          </w:p>
        </w:tc>
      </w:tr>
      <w:tr>
        <w:trPr>
          <w:trHeight w:val="375"/>
        </w:trPr>
        <w:tc>
          <w:tcPr>
            <w:tcW w:w="3880" w:type="dxa"/>
            <w:vAlign w:val="bottom"/>
          </w:tcPr>
          <w:p>
            <w:pPr>
              <w:spacing w:after="0"/>
              <w:rPr>
                <w:sz w:val="20"/>
                <w:szCs w:val="20"/>
                <w:color w:val="auto"/>
              </w:rPr>
            </w:pPr>
            <w:r>
              <w:rPr>
                <w:rFonts w:ascii="Arial" w:cs="Arial" w:eastAsia="Arial" w:hAnsi="Arial"/>
                <w:sz w:val="15"/>
                <w:szCs w:val="15"/>
                <w:color w:val="auto"/>
              </w:rPr>
              <w:t>Frank T. Gentry III</w:t>
            </w:r>
          </w:p>
        </w:tc>
        <w:tc>
          <w:tcPr>
            <w:tcW w:w="980" w:type="dxa"/>
            <w:vAlign w:val="bottom"/>
          </w:tcPr>
          <w:p>
            <w:pPr>
              <w:ind w:left="240"/>
              <w:spacing w:after="0"/>
              <w:rPr>
                <w:sz w:val="20"/>
                <w:szCs w:val="20"/>
                <w:color w:val="auto"/>
              </w:rPr>
            </w:pPr>
            <w:r>
              <w:rPr>
                <w:rFonts w:ascii="Arial" w:cs="Arial" w:eastAsia="Arial" w:hAnsi="Arial"/>
                <w:sz w:val="15"/>
                <w:szCs w:val="15"/>
                <w:color w:val="auto"/>
              </w:rPr>
              <w:t>2005</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205,569</w:t>
            </w:r>
          </w:p>
        </w:tc>
        <w:tc>
          <w:tcPr>
            <w:tcW w:w="540" w:type="dxa"/>
            <w:vAlign w:val="bottom"/>
          </w:tcPr>
          <w:p>
            <w:pPr>
              <w:jc w:val="right"/>
              <w:spacing w:after="0"/>
              <w:rPr>
                <w:sz w:val="20"/>
                <w:szCs w:val="20"/>
                <w:color w:val="auto"/>
              </w:rPr>
            </w:pPr>
            <w:r>
              <w:rPr>
                <w:rFonts w:ascii="Arial" w:cs="Arial" w:eastAsia="Arial" w:hAnsi="Arial"/>
                <w:sz w:val="15"/>
                <w:szCs w:val="15"/>
                <w:color w:val="auto"/>
              </w:rPr>
              <w:t>90,873</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15,000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63,500</w:t>
            </w:r>
          </w:p>
        </w:tc>
        <w:tc>
          <w:tcPr>
            <w:tcW w:w="1320" w:type="dxa"/>
            <w:vAlign w:val="bottom"/>
          </w:tcPr>
          <w:p>
            <w:pPr>
              <w:jc w:val="right"/>
              <w:spacing w:after="0"/>
              <w:rPr>
                <w:sz w:val="20"/>
                <w:szCs w:val="20"/>
                <w:color w:val="auto"/>
              </w:rPr>
            </w:pPr>
            <w:r>
              <w:rPr>
                <w:rFonts w:ascii="Arial" w:cs="Arial" w:eastAsia="Arial" w:hAnsi="Arial"/>
                <w:sz w:val="15"/>
                <w:szCs w:val="15"/>
                <w:color w:val="auto"/>
              </w:rPr>
              <w:t>4,644 (3)</w:t>
            </w:r>
          </w:p>
        </w:tc>
      </w:tr>
      <w:tr>
        <w:trPr>
          <w:trHeight w:val="181"/>
        </w:trPr>
        <w:tc>
          <w:tcPr>
            <w:tcW w:w="3880" w:type="dxa"/>
            <w:vAlign w:val="bottom"/>
          </w:tcPr>
          <w:p>
            <w:pPr>
              <w:spacing w:after="0"/>
              <w:rPr>
                <w:sz w:val="20"/>
                <w:szCs w:val="20"/>
                <w:color w:val="auto"/>
              </w:rPr>
            </w:pPr>
            <w:r>
              <w:rPr>
                <w:rFonts w:ascii="Arial" w:cs="Arial" w:eastAsia="Arial" w:hAnsi="Arial"/>
                <w:sz w:val="15"/>
                <w:szCs w:val="15"/>
                <w:color w:val="auto"/>
                <w:w w:val="96"/>
              </w:rPr>
              <w:t>Vice President and General Manager of U.S. Ball and Roller</w:t>
            </w:r>
          </w:p>
        </w:tc>
        <w:tc>
          <w:tcPr>
            <w:tcW w:w="980" w:type="dxa"/>
            <w:vAlign w:val="bottom"/>
          </w:tcPr>
          <w:p>
            <w:pPr>
              <w:ind w:left="240"/>
              <w:spacing w:after="0"/>
              <w:rPr>
                <w:sz w:val="20"/>
                <w:szCs w:val="20"/>
                <w:color w:val="auto"/>
              </w:rPr>
            </w:pPr>
            <w:r>
              <w:rPr>
                <w:rFonts w:ascii="Arial" w:cs="Arial" w:eastAsia="Arial" w:hAnsi="Arial"/>
                <w:sz w:val="15"/>
                <w:szCs w:val="15"/>
                <w:color w:val="auto"/>
              </w:rPr>
              <w:t>2004</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201,923</w:t>
            </w:r>
          </w:p>
        </w:tc>
        <w:tc>
          <w:tcPr>
            <w:tcW w:w="540" w:type="dxa"/>
            <w:vAlign w:val="bottom"/>
          </w:tcPr>
          <w:p>
            <w:pPr>
              <w:jc w:val="right"/>
              <w:spacing w:after="0"/>
              <w:rPr>
                <w:sz w:val="20"/>
                <w:szCs w:val="20"/>
                <w:color w:val="auto"/>
              </w:rPr>
            </w:pPr>
            <w:r>
              <w:rPr>
                <w:rFonts w:ascii="Arial" w:cs="Arial" w:eastAsia="Arial" w:hAnsi="Arial"/>
                <w:sz w:val="15"/>
                <w:szCs w:val="15"/>
                <w:color w:val="auto"/>
              </w:rPr>
              <w:t>65,340</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16,000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45"/>
              <w:spacing w:after="0"/>
              <w:rPr>
                <w:sz w:val="20"/>
                <w:szCs w:val="20"/>
                <w:color w:val="auto"/>
              </w:rPr>
            </w:pPr>
            <w:r>
              <w:rPr>
                <w:rFonts w:ascii="Arial" w:cs="Arial" w:eastAsia="Arial" w:hAnsi="Arial"/>
                <w:sz w:val="15"/>
                <w:szCs w:val="15"/>
                <w:color w:val="auto"/>
              </w:rPr>
              <w:t>4,283</w:t>
            </w:r>
          </w:p>
        </w:tc>
      </w:tr>
      <w:tr>
        <w:trPr>
          <w:trHeight w:val="190"/>
        </w:trPr>
        <w:tc>
          <w:tcPr>
            <w:tcW w:w="3880" w:type="dxa"/>
            <w:vAlign w:val="bottom"/>
          </w:tcPr>
          <w:p>
            <w:pPr>
              <w:spacing w:after="0"/>
              <w:rPr>
                <w:sz w:val="20"/>
                <w:szCs w:val="20"/>
                <w:color w:val="auto"/>
              </w:rPr>
            </w:pPr>
            <w:r>
              <w:rPr>
                <w:rFonts w:ascii="Arial" w:cs="Arial" w:eastAsia="Arial" w:hAnsi="Arial"/>
                <w:sz w:val="15"/>
                <w:szCs w:val="15"/>
                <w:color w:val="auto"/>
              </w:rPr>
              <w:t>Division</w:t>
            </w:r>
          </w:p>
        </w:tc>
        <w:tc>
          <w:tcPr>
            <w:tcW w:w="980" w:type="dxa"/>
            <w:vAlign w:val="bottom"/>
          </w:tcPr>
          <w:p>
            <w:pPr>
              <w:ind w:left="240"/>
              <w:spacing w:after="0"/>
              <w:rPr>
                <w:sz w:val="20"/>
                <w:szCs w:val="20"/>
                <w:color w:val="auto"/>
              </w:rPr>
            </w:pPr>
            <w:r>
              <w:rPr>
                <w:rFonts w:ascii="Arial" w:cs="Arial" w:eastAsia="Arial" w:hAnsi="Arial"/>
                <w:sz w:val="15"/>
                <w:szCs w:val="15"/>
                <w:color w:val="auto"/>
              </w:rPr>
              <w:t>2003</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194,000</w:t>
            </w:r>
          </w:p>
        </w:tc>
        <w:tc>
          <w:tcPr>
            <w:tcW w:w="540" w:type="dxa"/>
            <w:vAlign w:val="bottom"/>
          </w:tcPr>
          <w:p>
            <w:pPr>
              <w:jc w:val="right"/>
              <w:spacing w:after="0"/>
              <w:rPr>
                <w:sz w:val="20"/>
                <w:szCs w:val="20"/>
                <w:color w:val="auto"/>
              </w:rPr>
            </w:pPr>
            <w:r>
              <w:rPr>
                <w:rFonts w:ascii="Arial" w:cs="Arial" w:eastAsia="Arial" w:hAnsi="Arial"/>
                <w:sz w:val="15"/>
                <w:szCs w:val="15"/>
                <w:color w:val="auto"/>
              </w:rPr>
              <w:t>74,555</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45"/>
              <w:spacing w:after="0"/>
              <w:rPr>
                <w:sz w:val="20"/>
                <w:szCs w:val="20"/>
                <w:color w:val="auto"/>
              </w:rPr>
            </w:pPr>
            <w:r>
              <w:rPr>
                <w:rFonts w:ascii="Arial" w:cs="Arial" w:eastAsia="Arial" w:hAnsi="Arial"/>
                <w:sz w:val="15"/>
                <w:szCs w:val="15"/>
                <w:color w:val="auto"/>
              </w:rPr>
              <w:t>4,139</w:t>
            </w:r>
          </w:p>
        </w:tc>
      </w:tr>
      <w:tr>
        <w:trPr>
          <w:trHeight w:val="375"/>
        </w:trPr>
        <w:tc>
          <w:tcPr>
            <w:tcW w:w="3880" w:type="dxa"/>
            <w:vAlign w:val="bottom"/>
          </w:tcPr>
          <w:p>
            <w:pPr>
              <w:spacing w:after="0"/>
              <w:rPr>
                <w:sz w:val="20"/>
                <w:szCs w:val="20"/>
                <w:color w:val="auto"/>
              </w:rPr>
            </w:pPr>
            <w:r>
              <w:rPr>
                <w:rFonts w:ascii="Arial" w:cs="Arial" w:eastAsia="Arial" w:hAnsi="Arial"/>
                <w:sz w:val="15"/>
                <w:szCs w:val="15"/>
                <w:color w:val="auto"/>
              </w:rPr>
              <w:t>Robert R. Sams</w:t>
            </w:r>
          </w:p>
        </w:tc>
        <w:tc>
          <w:tcPr>
            <w:tcW w:w="980" w:type="dxa"/>
            <w:vAlign w:val="bottom"/>
          </w:tcPr>
          <w:p>
            <w:pPr>
              <w:ind w:left="240"/>
              <w:spacing w:after="0"/>
              <w:rPr>
                <w:sz w:val="20"/>
                <w:szCs w:val="20"/>
                <w:color w:val="auto"/>
              </w:rPr>
            </w:pPr>
            <w:r>
              <w:rPr>
                <w:rFonts w:ascii="Arial" w:cs="Arial" w:eastAsia="Arial" w:hAnsi="Arial"/>
                <w:sz w:val="15"/>
                <w:szCs w:val="15"/>
                <w:color w:val="auto"/>
              </w:rPr>
              <w:t>2005</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172,948</w:t>
            </w:r>
          </w:p>
        </w:tc>
        <w:tc>
          <w:tcPr>
            <w:tcW w:w="540" w:type="dxa"/>
            <w:vAlign w:val="bottom"/>
          </w:tcPr>
          <w:p>
            <w:pPr>
              <w:jc w:val="right"/>
              <w:spacing w:after="0"/>
              <w:rPr>
                <w:sz w:val="20"/>
                <w:szCs w:val="20"/>
                <w:color w:val="auto"/>
              </w:rPr>
            </w:pPr>
            <w:r>
              <w:rPr>
                <w:rFonts w:ascii="Arial" w:cs="Arial" w:eastAsia="Arial" w:hAnsi="Arial"/>
                <w:sz w:val="15"/>
                <w:szCs w:val="15"/>
                <w:color w:val="auto"/>
              </w:rPr>
              <w:t>60,028</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12,000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50,800</w:t>
            </w:r>
          </w:p>
        </w:tc>
        <w:tc>
          <w:tcPr>
            <w:tcW w:w="1320" w:type="dxa"/>
            <w:vAlign w:val="bottom"/>
          </w:tcPr>
          <w:p>
            <w:pPr>
              <w:jc w:val="right"/>
              <w:spacing w:after="0"/>
              <w:rPr>
                <w:sz w:val="20"/>
                <w:szCs w:val="20"/>
                <w:color w:val="auto"/>
              </w:rPr>
            </w:pPr>
            <w:r>
              <w:rPr>
                <w:rFonts w:ascii="Arial" w:cs="Arial" w:eastAsia="Arial" w:hAnsi="Arial"/>
                <w:sz w:val="15"/>
                <w:szCs w:val="15"/>
                <w:color w:val="auto"/>
              </w:rPr>
              <w:t>3,78 1 (3)</w:t>
            </w:r>
          </w:p>
        </w:tc>
      </w:tr>
      <w:tr>
        <w:trPr>
          <w:trHeight w:val="181"/>
        </w:trPr>
        <w:tc>
          <w:tcPr>
            <w:tcW w:w="3880" w:type="dxa"/>
            <w:vAlign w:val="bottom"/>
          </w:tcPr>
          <w:p>
            <w:pPr>
              <w:spacing w:after="0"/>
              <w:rPr>
                <w:sz w:val="20"/>
                <w:szCs w:val="20"/>
                <w:color w:val="auto"/>
              </w:rPr>
            </w:pPr>
            <w:r>
              <w:rPr>
                <w:rFonts w:ascii="Arial" w:cs="Arial" w:eastAsia="Arial" w:hAnsi="Arial"/>
                <w:sz w:val="15"/>
                <w:szCs w:val="15"/>
                <w:color w:val="auto"/>
              </w:rPr>
              <w:t>Vice President of Sales</w:t>
            </w:r>
          </w:p>
        </w:tc>
        <w:tc>
          <w:tcPr>
            <w:tcW w:w="980" w:type="dxa"/>
            <w:vAlign w:val="bottom"/>
          </w:tcPr>
          <w:p>
            <w:pPr>
              <w:ind w:left="240"/>
              <w:spacing w:after="0"/>
              <w:rPr>
                <w:sz w:val="20"/>
                <w:szCs w:val="20"/>
                <w:color w:val="auto"/>
              </w:rPr>
            </w:pPr>
            <w:r>
              <w:rPr>
                <w:rFonts w:ascii="Arial" w:cs="Arial" w:eastAsia="Arial" w:hAnsi="Arial"/>
                <w:sz w:val="15"/>
                <w:szCs w:val="15"/>
                <w:color w:val="auto"/>
              </w:rPr>
              <w:t>2004</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171,026</w:t>
            </w:r>
          </w:p>
        </w:tc>
        <w:tc>
          <w:tcPr>
            <w:tcW w:w="540" w:type="dxa"/>
            <w:vAlign w:val="bottom"/>
          </w:tcPr>
          <w:p>
            <w:pPr>
              <w:jc w:val="right"/>
              <w:spacing w:after="0"/>
              <w:rPr>
                <w:sz w:val="20"/>
                <w:szCs w:val="20"/>
                <w:color w:val="auto"/>
              </w:rPr>
            </w:pPr>
            <w:r>
              <w:rPr>
                <w:rFonts w:ascii="Arial" w:cs="Arial" w:eastAsia="Arial" w:hAnsi="Arial"/>
                <w:sz w:val="15"/>
                <w:szCs w:val="15"/>
                <w:color w:val="auto"/>
              </w:rPr>
              <w:t>54,780</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13,000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3,738</w:t>
            </w:r>
          </w:p>
        </w:tc>
      </w:tr>
      <w:tr>
        <w:trPr>
          <w:trHeight w:val="190"/>
        </w:trPr>
        <w:tc>
          <w:tcPr>
            <w:tcW w:w="388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5"/>
                <w:szCs w:val="15"/>
                <w:color w:val="auto"/>
              </w:rPr>
              <w:t>2003</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165,000</w:t>
            </w:r>
          </w:p>
        </w:tc>
        <w:tc>
          <w:tcPr>
            <w:tcW w:w="540" w:type="dxa"/>
            <w:vAlign w:val="bottom"/>
          </w:tcPr>
          <w:p>
            <w:pPr>
              <w:jc w:val="right"/>
              <w:spacing w:after="0"/>
              <w:rPr>
                <w:sz w:val="20"/>
                <w:szCs w:val="20"/>
                <w:color w:val="auto"/>
              </w:rPr>
            </w:pPr>
            <w:r>
              <w:rPr>
                <w:rFonts w:ascii="Arial" w:cs="Arial" w:eastAsia="Arial" w:hAnsi="Arial"/>
                <w:sz w:val="15"/>
                <w:szCs w:val="15"/>
                <w:color w:val="auto"/>
              </w:rPr>
              <w:t>62,868</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3,507</w:t>
            </w:r>
          </w:p>
        </w:tc>
      </w:tr>
      <w:tr>
        <w:trPr>
          <w:trHeight w:val="397"/>
        </w:trPr>
        <w:tc>
          <w:tcPr>
            <w:tcW w:w="3880" w:type="dxa"/>
            <w:vAlign w:val="bottom"/>
          </w:tcPr>
          <w:p>
            <w:pPr>
              <w:spacing w:after="0"/>
              <w:rPr>
                <w:sz w:val="20"/>
                <w:szCs w:val="20"/>
                <w:color w:val="auto"/>
              </w:rPr>
            </w:pPr>
            <w:r>
              <w:rPr>
                <w:rFonts w:ascii="Arial" w:cs="Arial" w:eastAsia="Arial" w:hAnsi="Arial"/>
                <w:sz w:val="15"/>
                <w:szCs w:val="15"/>
                <w:color w:val="auto"/>
              </w:rPr>
              <w:t>William C. Kelly, Jr.</w:t>
            </w:r>
          </w:p>
        </w:tc>
        <w:tc>
          <w:tcPr>
            <w:tcW w:w="980" w:type="dxa"/>
            <w:vAlign w:val="bottom"/>
          </w:tcPr>
          <w:p>
            <w:pPr>
              <w:ind w:left="240"/>
              <w:spacing w:after="0"/>
              <w:rPr>
                <w:sz w:val="20"/>
                <w:szCs w:val="20"/>
                <w:color w:val="auto"/>
              </w:rPr>
            </w:pPr>
            <w:r>
              <w:rPr>
                <w:rFonts w:ascii="Arial" w:cs="Arial" w:eastAsia="Arial" w:hAnsi="Arial"/>
                <w:sz w:val="15"/>
                <w:szCs w:val="15"/>
                <w:color w:val="auto"/>
              </w:rPr>
              <w:t>2005</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147,841</w:t>
            </w:r>
          </w:p>
        </w:tc>
        <w:tc>
          <w:tcPr>
            <w:tcW w:w="540" w:type="dxa"/>
            <w:vAlign w:val="bottom"/>
          </w:tcPr>
          <w:p>
            <w:pPr>
              <w:jc w:val="right"/>
              <w:spacing w:after="0"/>
              <w:rPr>
                <w:sz w:val="20"/>
                <w:szCs w:val="20"/>
                <w:color w:val="auto"/>
              </w:rPr>
            </w:pPr>
            <w:r>
              <w:rPr>
                <w:rFonts w:ascii="Arial" w:cs="Arial" w:eastAsia="Arial" w:hAnsi="Arial"/>
                <w:sz w:val="15"/>
                <w:szCs w:val="15"/>
                <w:color w:val="auto"/>
              </w:rPr>
              <w:t>54,095</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12,000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50,800</w:t>
            </w:r>
          </w:p>
        </w:tc>
        <w:tc>
          <w:tcPr>
            <w:tcW w:w="1320" w:type="dxa"/>
            <w:vAlign w:val="bottom"/>
          </w:tcPr>
          <w:p>
            <w:pPr>
              <w:jc w:val="right"/>
              <w:spacing w:after="0"/>
              <w:rPr>
                <w:sz w:val="20"/>
                <w:szCs w:val="20"/>
                <w:color w:val="auto"/>
              </w:rPr>
            </w:pPr>
            <w:r>
              <w:rPr>
                <w:rFonts w:ascii="Arial" w:cs="Arial" w:eastAsia="Arial" w:hAnsi="Arial"/>
                <w:sz w:val="15"/>
                <w:szCs w:val="15"/>
                <w:color w:val="auto"/>
              </w:rPr>
              <w:t>3,216 (3)</w:t>
            </w:r>
          </w:p>
        </w:tc>
      </w:tr>
      <w:tr>
        <w:trPr>
          <w:trHeight w:val="181"/>
        </w:trPr>
        <w:tc>
          <w:tcPr>
            <w:tcW w:w="3880" w:type="dxa"/>
            <w:vAlign w:val="bottom"/>
          </w:tcPr>
          <w:p>
            <w:pPr>
              <w:spacing w:after="0"/>
              <w:rPr>
                <w:sz w:val="20"/>
                <w:szCs w:val="20"/>
                <w:color w:val="auto"/>
              </w:rPr>
            </w:pPr>
            <w:r>
              <w:rPr>
                <w:rFonts w:ascii="Arial" w:cs="Arial" w:eastAsia="Arial" w:hAnsi="Arial"/>
                <w:sz w:val="15"/>
                <w:szCs w:val="15"/>
                <w:color w:val="auto"/>
              </w:rPr>
              <w:t>Vice President, Secretary and Chief Administrative Officer</w:t>
            </w:r>
          </w:p>
        </w:tc>
        <w:tc>
          <w:tcPr>
            <w:tcW w:w="980" w:type="dxa"/>
            <w:vAlign w:val="bottom"/>
          </w:tcPr>
          <w:p>
            <w:pPr>
              <w:ind w:left="240"/>
              <w:spacing w:after="0"/>
              <w:rPr>
                <w:sz w:val="20"/>
                <w:szCs w:val="20"/>
                <w:color w:val="auto"/>
              </w:rPr>
            </w:pPr>
            <w:r>
              <w:rPr>
                <w:rFonts w:ascii="Arial" w:cs="Arial" w:eastAsia="Arial" w:hAnsi="Arial"/>
                <w:sz w:val="15"/>
                <w:szCs w:val="15"/>
                <w:color w:val="auto"/>
              </w:rPr>
              <w:t>2004</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129,566</w:t>
            </w:r>
          </w:p>
        </w:tc>
        <w:tc>
          <w:tcPr>
            <w:tcW w:w="540" w:type="dxa"/>
            <w:vAlign w:val="bottom"/>
          </w:tcPr>
          <w:p>
            <w:pPr>
              <w:jc w:val="right"/>
              <w:spacing w:after="0"/>
              <w:rPr>
                <w:sz w:val="20"/>
                <w:szCs w:val="20"/>
                <w:color w:val="auto"/>
              </w:rPr>
            </w:pPr>
            <w:r>
              <w:rPr>
                <w:rFonts w:ascii="Arial" w:cs="Arial" w:eastAsia="Arial" w:hAnsi="Arial"/>
                <w:sz w:val="15"/>
                <w:szCs w:val="15"/>
                <w:color w:val="auto"/>
              </w:rPr>
              <w:t>20,000</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13,000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65"/>
              <w:spacing w:after="0"/>
              <w:rPr>
                <w:sz w:val="20"/>
                <w:szCs w:val="20"/>
                <w:color w:val="auto"/>
              </w:rPr>
            </w:pPr>
            <w:r>
              <w:rPr>
                <w:rFonts w:ascii="Arial" w:cs="Arial" w:eastAsia="Arial" w:hAnsi="Arial"/>
                <w:sz w:val="15"/>
                <w:szCs w:val="15"/>
                <w:color w:val="auto"/>
              </w:rPr>
              <w:t>2,809</w:t>
            </w:r>
          </w:p>
        </w:tc>
      </w:tr>
      <w:tr>
        <w:trPr>
          <w:trHeight w:val="190"/>
        </w:trPr>
        <w:tc>
          <w:tcPr>
            <w:tcW w:w="388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5"/>
                <w:szCs w:val="15"/>
                <w:color w:val="auto"/>
              </w:rPr>
              <w:t>2003</w:t>
            </w:r>
          </w:p>
        </w:tc>
        <w:tc>
          <w:tcPr>
            <w:tcW w:w="1940" w:type="dxa"/>
            <w:vAlign w:val="bottom"/>
          </w:tcPr>
          <w:p>
            <w:pPr>
              <w:jc w:val="right"/>
              <w:ind w:right="705"/>
              <w:spacing w:after="0"/>
              <w:rPr>
                <w:sz w:val="20"/>
                <w:szCs w:val="20"/>
                <w:color w:val="auto"/>
              </w:rPr>
            </w:pPr>
            <w:r>
              <w:rPr>
                <w:rFonts w:ascii="Arial" w:cs="Arial" w:eastAsia="Arial" w:hAnsi="Arial"/>
                <w:sz w:val="15"/>
                <w:szCs w:val="15"/>
                <w:color w:val="auto"/>
              </w:rPr>
              <w:t>124,000</w:t>
            </w:r>
          </w:p>
        </w:tc>
        <w:tc>
          <w:tcPr>
            <w:tcW w:w="540" w:type="dxa"/>
            <w:vAlign w:val="bottom"/>
          </w:tcPr>
          <w:p>
            <w:pPr>
              <w:jc w:val="right"/>
              <w:spacing w:after="0"/>
              <w:rPr>
                <w:sz w:val="20"/>
                <w:szCs w:val="20"/>
                <w:color w:val="auto"/>
              </w:rPr>
            </w:pPr>
            <w:r>
              <w:rPr>
                <w:rFonts w:ascii="Arial" w:cs="Arial" w:eastAsia="Arial" w:hAnsi="Arial"/>
                <w:sz w:val="15"/>
                <w:szCs w:val="15"/>
                <w:color w:val="auto"/>
              </w:rPr>
              <w:t>27,715</w:t>
            </w:r>
          </w:p>
        </w:tc>
        <w:tc>
          <w:tcPr>
            <w:tcW w:w="2100" w:type="dxa"/>
            <w:vAlign w:val="bottom"/>
          </w:tcPr>
          <w:p>
            <w:pPr>
              <w:jc w:val="right"/>
              <w:ind w:right="705"/>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0</w:t>
            </w:r>
          </w:p>
        </w:tc>
        <w:tc>
          <w:tcPr>
            <w:tcW w:w="1320" w:type="dxa"/>
            <w:vAlign w:val="bottom"/>
          </w:tcPr>
          <w:p>
            <w:pPr>
              <w:jc w:val="right"/>
              <w:ind w:right="65"/>
              <w:spacing w:after="0"/>
              <w:rPr>
                <w:sz w:val="20"/>
                <w:szCs w:val="20"/>
                <w:color w:val="auto"/>
              </w:rPr>
            </w:pPr>
            <w:r>
              <w:rPr>
                <w:rFonts w:ascii="Arial" w:cs="Arial" w:eastAsia="Arial" w:hAnsi="Arial"/>
                <w:sz w:val="15"/>
                <w:szCs w:val="15"/>
                <w:color w:val="auto"/>
              </w:rPr>
              <w:t>2,613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234" w:lineRule="exact"/>
        <w:rPr>
          <w:sz w:val="20"/>
          <w:szCs w:val="20"/>
          <w:color w:val="auto"/>
        </w:rPr>
      </w:pPr>
    </w:p>
    <w:p>
      <w:pPr>
        <w:jc w:val="both"/>
        <w:ind w:left="540" w:hanging="195"/>
        <w:spacing w:after="0" w:line="278"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represent the market value of 15,000 shares, 5,000 shares, 5,000 shares, 4,000 shares and 4,000 shares of restricted shares awarded Messrs. Baty, Trombetti, Gentry, Sams and Kelly, respectively. On July 5, 2005, the Company awarded 53,000 shares of restricted stock to ten executive officers and other key employees. The market value of these shares on the date of grant was $12.70 per share. These shares vest over a period of three years beginning on the first anniversary of the date of grant. Vesting is based solely on the condition of continued employment. Until the restrictions lapse, the individuals have the right to receive cash dividends on the restricted shares and have the right to vote the restricted shares and will generally have the right and privileges of a stockholder, except they may not sell, transfer, assign, pledge, use as collateral or otherwise dispose or encumber the restricted shares. At December 31, 2005, the market value of these shares was $10.60 per share.</w:t>
      </w:r>
    </w:p>
    <w:p>
      <w:pPr>
        <w:spacing w:after="0" w:line="191" w:lineRule="exact"/>
        <w:rPr>
          <w:rFonts w:ascii="Arial" w:cs="Arial" w:eastAsia="Arial" w:hAnsi="Arial"/>
          <w:sz w:val="14"/>
          <w:szCs w:val="14"/>
          <w:color w:val="auto"/>
        </w:rPr>
      </w:pPr>
    </w:p>
    <w:p>
      <w:pPr>
        <w:ind w:left="540" w:right="20" w:hanging="195"/>
        <w:spacing w:after="0" w:line="31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reported for 2005 include $4,200, $4,200, $3,551 and $3,033 in Company matching contributions under a “401(k)” savings plan for Messrs. Baty, Gentry, Sams and Kelly, respectively. This plan is open to substantially all of the Company’s U.S. employees and officers who have met certain service and age requirements.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 w:name="page11"/>
    <w:bookmarkEnd w:id="10"/>
    <w:p>
      <w:pPr>
        <w:ind w:left="540" w:right="20" w:hanging="195"/>
        <w:spacing w:after="0" w:line="276"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Amounts reported for 2005 include $690, $443, $230 and $183 in premiums paid by the Company for supplemental life insurance for the benefit of Messrs. Baty, Gentry, Sams and Kelly, respectively.</w:t>
      </w:r>
    </w:p>
    <w:p>
      <w:pPr>
        <w:spacing w:after="0" w:line="190" w:lineRule="exact"/>
        <w:rPr>
          <w:rFonts w:ascii="Arial" w:cs="Arial" w:eastAsia="Arial" w:hAnsi="Arial"/>
          <w:sz w:val="15"/>
          <w:szCs w:val="15"/>
          <w:color w:val="auto"/>
        </w:rPr>
      </w:pPr>
    </w:p>
    <w:p>
      <w:pPr>
        <w:ind w:left="540" w:hanging="195"/>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Amounts represent a travel indemnity paid to Mr. Trombetti by the Company.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60" w:type="dxa"/>
            <w:vAlign w:val="bottom"/>
            <w:gridSpan w:val="3"/>
          </w:tcPr>
          <w:p>
            <w:pPr>
              <w:ind w:left="1300"/>
              <w:spacing w:after="0"/>
              <w:rPr>
                <w:sz w:val="20"/>
                <w:szCs w:val="20"/>
                <w:color w:val="auto"/>
              </w:rPr>
            </w:pPr>
            <w:r>
              <w:rPr>
                <w:rFonts w:ascii="Arial" w:cs="Arial" w:eastAsia="Arial" w:hAnsi="Arial"/>
                <w:sz w:val="15"/>
                <w:szCs w:val="15"/>
                <w:b w:val="1"/>
                <w:bCs w:val="1"/>
                <w:color w:val="auto"/>
              </w:rPr>
              <w:t>OPTION GRANTS IN FISCAL YEAR 2005</w:t>
            </w:r>
          </w:p>
        </w:tc>
        <w:tc>
          <w:tcPr>
            <w:tcW w:w="12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407"/>
        </w:trPr>
        <w:tc>
          <w:tcPr>
            <w:tcW w:w="8220" w:type="dxa"/>
            <w:vAlign w:val="bottom"/>
            <w:gridSpan w:val="5"/>
          </w:tcPr>
          <w:p>
            <w:pPr>
              <w:jc w:val="center"/>
              <w:ind w:left="385"/>
              <w:spacing w:after="0"/>
              <w:rPr>
                <w:sz w:val="20"/>
                <w:szCs w:val="20"/>
                <w:color w:val="auto"/>
              </w:rPr>
            </w:pPr>
            <w:r>
              <w:rPr>
                <w:rFonts w:ascii="Arial" w:cs="Arial" w:eastAsia="Arial" w:hAnsi="Arial"/>
                <w:sz w:val="15"/>
                <w:szCs w:val="15"/>
                <w:color w:val="auto"/>
                <w:w w:val="92"/>
              </w:rPr>
              <w:t>The following table sets forth information with respect to options granted during fiscal 2005 to the Named Executive Officers.</w:t>
            </w: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3"/>
        </w:trPr>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gridSpan w:val="2"/>
          </w:tcPr>
          <w:p>
            <w:pPr>
              <w:jc w:val="center"/>
              <w:ind w:right="5"/>
              <w:spacing w:after="0"/>
              <w:rPr>
                <w:sz w:val="20"/>
                <w:szCs w:val="20"/>
                <w:color w:val="auto"/>
              </w:rPr>
            </w:pPr>
            <w:r>
              <w:rPr>
                <w:rFonts w:ascii="Arial" w:cs="Arial" w:eastAsia="Arial" w:hAnsi="Arial"/>
                <w:sz w:val="15"/>
                <w:szCs w:val="15"/>
                <w:b w:val="1"/>
                <w:bCs w:val="1"/>
                <w:color w:val="auto"/>
                <w:w w:val="91"/>
              </w:rPr>
              <w:t>Potential Realizable Value At Assumed Annual</w:t>
            </w:r>
          </w:p>
        </w:tc>
      </w:tr>
      <w:tr>
        <w:trPr>
          <w:trHeight w:val="181"/>
        </w:trPr>
        <w:tc>
          <w:tcPr>
            <w:tcW w:w="19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88"/>
              </w:rPr>
              <w:t>Shares Underlying</w:t>
            </w:r>
          </w:p>
        </w:tc>
        <w:tc>
          <w:tcPr>
            <w:tcW w:w="2200" w:type="dxa"/>
            <w:vAlign w:val="bottom"/>
          </w:tcPr>
          <w:p>
            <w:pPr>
              <w:jc w:val="center"/>
              <w:ind w:right="5"/>
              <w:spacing w:after="0"/>
              <w:rPr>
                <w:sz w:val="20"/>
                <w:szCs w:val="20"/>
                <w:color w:val="auto"/>
              </w:rPr>
            </w:pPr>
            <w:r>
              <w:rPr>
                <w:rFonts w:ascii="Arial" w:cs="Arial" w:eastAsia="Arial" w:hAnsi="Arial"/>
                <w:sz w:val="15"/>
                <w:szCs w:val="15"/>
                <w:b w:val="1"/>
                <w:bCs w:val="1"/>
                <w:color w:val="auto"/>
                <w:w w:val="94"/>
              </w:rPr>
              <w:t>Individual Grants</w:t>
            </w: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20" w:type="dxa"/>
            <w:vAlign w:val="bottom"/>
            <w:gridSpan w:val="2"/>
          </w:tcPr>
          <w:p>
            <w:pPr>
              <w:jc w:val="center"/>
              <w:ind w:right="5"/>
              <w:spacing w:after="0"/>
              <w:rPr>
                <w:sz w:val="20"/>
                <w:szCs w:val="20"/>
                <w:color w:val="auto"/>
              </w:rPr>
            </w:pPr>
            <w:r>
              <w:rPr>
                <w:rFonts w:ascii="Arial" w:cs="Arial" w:eastAsia="Arial" w:hAnsi="Arial"/>
                <w:sz w:val="15"/>
                <w:szCs w:val="15"/>
                <w:b w:val="1"/>
                <w:bCs w:val="1"/>
                <w:color w:val="auto"/>
                <w:w w:val="91"/>
              </w:rPr>
              <w:t>Rates Of Stock Price Appreciation For Option</w:t>
            </w:r>
          </w:p>
        </w:tc>
      </w:tr>
      <w:tr>
        <w:trPr>
          <w:trHeight w:val="181"/>
        </w:trPr>
        <w:tc>
          <w:tcPr>
            <w:tcW w:w="19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2"/>
              </w:rPr>
              <w:t>Options Granted</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auto"/>
                <w:w w:val="93"/>
              </w:rPr>
              <w:t>% Of Total Options Granted To</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90"/>
              </w:rPr>
              <w:t>Exercise Price Per</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60" w:type="dxa"/>
            <w:vAlign w:val="bottom"/>
          </w:tcPr>
          <w:p>
            <w:pPr>
              <w:jc w:val="center"/>
              <w:ind w:right="1245"/>
              <w:spacing w:after="0"/>
              <w:rPr>
                <w:sz w:val="20"/>
                <w:szCs w:val="20"/>
                <w:color w:val="auto"/>
              </w:rPr>
            </w:pPr>
            <w:r>
              <w:rPr>
                <w:rFonts w:ascii="Arial" w:cs="Arial" w:eastAsia="Arial" w:hAnsi="Arial"/>
                <w:sz w:val="15"/>
                <w:szCs w:val="15"/>
                <w:b w:val="1"/>
                <w:bCs w:val="1"/>
                <w:color w:val="auto"/>
                <w:w w:val="94"/>
              </w:rPr>
              <w:t>Term (2)</w:t>
            </w:r>
          </w:p>
        </w:tc>
      </w:tr>
      <w:tr>
        <w:trPr>
          <w:trHeight w:val="195"/>
        </w:trPr>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Name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220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8"/>
              </w:rPr>
              <w:t>Employees in Fiscal 2005</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Share (1)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Expiration Date</w:t>
            </w:r>
          </w:p>
        </w:tc>
        <w:tc>
          <w:tcPr>
            <w:tcW w:w="1260" w:type="dxa"/>
            <w:vAlign w:val="bottom"/>
            <w:tcBorders>
              <w:bottom w:val="single" w:sz="8" w:color="auto"/>
            </w:tcBorders>
          </w:tcPr>
          <w:p>
            <w:pPr>
              <w:jc w:val="center"/>
              <w:ind w:left="545"/>
              <w:spacing w:after="0"/>
              <w:rPr>
                <w:sz w:val="20"/>
                <w:szCs w:val="20"/>
                <w:color w:val="auto"/>
              </w:rPr>
            </w:pPr>
            <w:r>
              <w:rPr>
                <w:rFonts w:ascii="Arial" w:cs="Arial" w:eastAsia="Arial" w:hAnsi="Arial"/>
                <w:sz w:val="15"/>
                <w:szCs w:val="15"/>
                <w:b w:val="1"/>
                <w:bCs w:val="1"/>
                <w:color w:val="auto"/>
              </w:rPr>
              <w:t>5%</w:t>
            </w:r>
          </w:p>
        </w:tc>
        <w:tc>
          <w:tcPr>
            <w:tcW w:w="1960" w:type="dxa"/>
            <w:vAlign w:val="bottom"/>
            <w:tcBorders>
              <w:bottom w:val="single" w:sz="8" w:color="auto"/>
            </w:tcBorders>
          </w:tcPr>
          <w:p>
            <w:pPr>
              <w:jc w:val="center"/>
              <w:ind w:left="625"/>
              <w:spacing w:after="0"/>
              <w:rPr>
                <w:sz w:val="20"/>
                <w:szCs w:val="20"/>
                <w:color w:val="auto"/>
              </w:rPr>
            </w:pPr>
            <w:r>
              <w:rPr>
                <w:rFonts w:ascii="Arial" w:cs="Arial" w:eastAsia="Arial" w:hAnsi="Arial"/>
                <w:sz w:val="15"/>
                <w:szCs w:val="15"/>
                <w:b w:val="1"/>
                <w:bCs w:val="1"/>
                <w:color w:val="auto"/>
                <w:w w:val="99"/>
              </w:rPr>
              <w:t>10%</w:t>
            </w:r>
          </w:p>
        </w:tc>
      </w:tr>
      <w:tr>
        <w:trPr>
          <w:trHeight w:val="366"/>
        </w:trPr>
        <w:tc>
          <w:tcPr>
            <w:tcW w:w="1980" w:type="dxa"/>
            <w:vAlign w:val="bottom"/>
          </w:tcPr>
          <w:p>
            <w:pPr>
              <w:spacing w:after="0"/>
              <w:rPr>
                <w:sz w:val="20"/>
                <w:szCs w:val="20"/>
                <w:color w:val="auto"/>
              </w:rPr>
            </w:pPr>
            <w:r>
              <w:rPr>
                <w:rFonts w:ascii="Arial" w:cs="Arial" w:eastAsia="Arial" w:hAnsi="Arial"/>
                <w:sz w:val="15"/>
                <w:szCs w:val="15"/>
                <w:color w:val="auto"/>
              </w:rPr>
              <w:t>Roderick R. Baty</w:t>
            </w:r>
          </w:p>
        </w:tc>
        <w:tc>
          <w:tcPr>
            <w:tcW w:w="1280" w:type="dxa"/>
            <w:vAlign w:val="bottom"/>
          </w:tcPr>
          <w:p>
            <w:pPr>
              <w:jc w:val="center"/>
              <w:spacing w:after="0"/>
              <w:rPr>
                <w:sz w:val="20"/>
                <w:szCs w:val="20"/>
                <w:color w:val="auto"/>
              </w:rPr>
            </w:pPr>
            <w:r>
              <w:rPr>
                <w:rFonts w:ascii="Arial" w:cs="Arial" w:eastAsia="Arial" w:hAnsi="Arial"/>
                <w:sz w:val="15"/>
                <w:szCs w:val="15"/>
                <w:color w:val="auto"/>
                <w:w w:val="91"/>
              </w:rPr>
              <w:t>35,000</w:t>
            </w:r>
          </w:p>
        </w:tc>
        <w:tc>
          <w:tcPr>
            <w:tcW w:w="2200" w:type="dxa"/>
            <w:vAlign w:val="bottom"/>
          </w:tcPr>
          <w:p>
            <w:pPr>
              <w:jc w:val="center"/>
              <w:ind w:right="5"/>
              <w:spacing w:after="0"/>
              <w:rPr>
                <w:sz w:val="20"/>
                <w:szCs w:val="20"/>
                <w:color w:val="auto"/>
              </w:rPr>
            </w:pPr>
            <w:r>
              <w:rPr>
                <w:rFonts w:ascii="Arial" w:cs="Arial" w:eastAsia="Arial" w:hAnsi="Arial"/>
                <w:sz w:val="15"/>
                <w:szCs w:val="15"/>
                <w:color w:val="auto"/>
                <w:w w:val="93"/>
              </w:rPr>
              <w:t>13.1%</w:t>
            </w: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$11.61</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08/19/15</w:t>
            </w:r>
          </w:p>
        </w:tc>
        <w:tc>
          <w:tcPr>
            <w:tcW w:w="1260" w:type="dxa"/>
            <w:vAlign w:val="bottom"/>
          </w:tcPr>
          <w:p>
            <w:pPr>
              <w:jc w:val="center"/>
              <w:ind w:left="545"/>
              <w:spacing w:after="0"/>
              <w:rPr>
                <w:sz w:val="20"/>
                <w:szCs w:val="20"/>
                <w:color w:val="auto"/>
              </w:rPr>
            </w:pPr>
            <w:r>
              <w:rPr>
                <w:rFonts w:ascii="Arial" w:cs="Arial" w:eastAsia="Arial" w:hAnsi="Arial"/>
                <w:sz w:val="15"/>
                <w:szCs w:val="15"/>
                <w:color w:val="auto"/>
                <w:w w:val="89"/>
              </w:rPr>
              <w:t>$255,551</w:t>
            </w:r>
          </w:p>
        </w:tc>
        <w:tc>
          <w:tcPr>
            <w:tcW w:w="1960" w:type="dxa"/>
            <w:vAlign w:val="bottom"/>
          </w:tcPr>
          <w:p>
            <w:pPr>
              <w:jc w:val="center"/>
              <w:ind w:left="605"/>
              <w:spacing w:after="0"/>
              <w:rPr>
                <w:sz w:val="20"/>
                <w:szCs w:val="20"/>
                <w:color w:val="auto"/>
              </w:rPr>
            </w:pPr>
            <w:r>
              <w:rPr>
                <w:rFonts w:ascii="Arial" w:cs="Arial" w:eastAsia="Arial" w:hAnsi="Arial"/>
                <w:sz w:val="15"/>
                <w:szCs w:val="15"/>
                <w:color w:val="auto"/>
                <w:w w:val="89"/>
              </w:rPr>
              <w:t>$647,617</w:t>
            </w:r>
          </w:p>
        </w:tc>
      </w:tr>
      <w:tr>
        <w:trPr>
          <w:trHeight w:val="181"/>
        </w:trPr>
        <w:tc>
          <w:tcPr>
            <w:tcW w:w="1980" w:type="dxa"/>
            <w:vAlign w:val="bottom"/>
          </w:tcPr>
          <w:p>
            <w:pPr>
              <w:spacing w:after="0"/>
              <w:rPr>
                <w:sz w:val="20"/>
                <w:szCs w:val="20"/>
                <w:color w:val="auto"/>
              </w:rPr>
            </w:pPr>
            <w:r>
              <w:rPr>
                <w:rFonts w:ascii="Arial" w:cs="Arial" w:eastAsia="Arial" w:hAnsi="Arial"/>
                <w:sz w:val="15"/>
                <w:szCs w:val="15"/>
                <w:color w:val="auto"/>
              </w:rPr>
              <w:t>Nicola Trombetti</w:t>
            </w:r>
          </w:p>
        </w:tc>
        <w:tc>
          <w:tcPr>
            <w:tcW w:w="1280" w:type="dxa"/>
            <w:vAlign w:val="bottom"/>
          </w:tcPr>
          <w:p>
            <w:pPr>
              <w:jc w:val="center"/>
              <w:spacing w:after="0"/>
              <w:rPr>
                <w:sz w:val="20"/>
                <w:szCs w:val="20"/>
                <w:color w:val="auto"/>
              </w:rPr>
            </w:pPr>
            <w:r>
              <w:rPr>
                <w:rFonts w:ascii="Arial" w:cs="Arial" w:eastAsia="Arial" w:hAnsi="Arial"/>
                <w:sz w:val="15"/>
                <w:szCs w:val="15"/>
                <w:color w:val="auto"/>
                <w:w w:val="91"/>
              </w:rPr>
              <w:t>15,000</w:t>
            </w:r>
          </w:p>
        </w:tc>
        <w:tc>
          <w:tcPr>
            <w:tcW w:w="2200" w:type="dxa"/>
            <w:vAlign w:val="bottom"/>
          </w:tcPr>
          <w:p>
            <w:pPr>
              <w:jc w:val="center"/>
              <w:ind w:right="5"/>
              <w:spacing w:after="0"/>
              <w:rPr>
                <w:sz w:val="20"/>
                <w:szCs w:val="20"/>
                <w:color w:val="auto"/>
              </w:rPr>
            </w:pPr>
            <w:r>
              <w:rPr>
                <w:rFonts w:ascii="Arial" w:cs="Arial" w:eastAsia="Arial" w:hAnsi="Arial"/>
                <w:sz w:val="15"/>
                <w:szCs w:val="15"/>
                <w:color w:val="auto"/>
                <w:w w:val="93"/>
              </w:rPr>
              <w:t>5.6%</w:t>
            </w: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$11.61</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08/19/15</w:t>
            </w:r>
          </w:p>
        </w:tc>
        <w:tc>
          <w:tcPr>
            <w:tcW w:w="1260" w:type="dxa"/>
            <w:vAlign w:val="bottom"/>
          </w:tcPr>
          <w:p>
            <w:pPr>
              <w:jc w:val="center"/>
              <w:ind w:left="545"/>
              <w:spacing w:after="0"/>
              <w:rPr>
                <w:sz w:val="20"/>
                <w:szCs w:val="20"/>
                <w:color w:val="auto"/>
              </w:rPr>
            </w:pPr>
            <w:r>
              <w:rPr>
                <w:rFonts w:ascii="Arial" w:cs="Arial" w:eastAsia="Arial" w:hAnsi="Arial"/>
                <w:sz w:val="15"/>
                <w:szCs w:val="15"/>
                <w:color w:val="auto"/>
                <w:w w:val="89"/>
              </w:rPr>
              <w:t>$109,522</w:t>
            </w:r>
          </w:p>
        </w:tc>
        <w:tc>
          <w:tcPr>
            <w:tcW w:w="1960" w:type="dxa"/>
            <w:vAlign w:val="bottom"/>
          </w:tcPr>
          <w:p>
            <w:pPr>
              <w:jc w:val="center"/>
              <w:ind w:left="605"/>
              <w:spacing w:after="0"/>
              <w:rPr>
                <w:sz w:val="20"/>
                <w:szCs w:val="20"/>
                <w:color w:val="auto"/>
              </w:rPr>
            </w:pPr>
            <w:r>
              <w:rPr>
                <w:rFonts w:ascii="Arial" w:cs="Arial" w:eastAsia="Arial" w:hAnsi="Arial"/>
                <w:sz w:val="15"/>
                <w:szCs w:val="15"/>
                <w:color w:val="auto"/>
                <w:w w:val="89"/>
              </w:rPr>
              <w:t>$277,550</w:t>
            </w:r>
          </w:p>
        </w:tc>
      </w:tr>
      <w:tr>
        <w:trPr>
          <w:trHeight w:val="181"/>
        </w:trPr>
        <w:tc>
          <w:tcPr>
            <w:tcW w:w="1980" w:type="dxa"/>
            <w:vAlign w:val="bottom"/>
          </w:tcPr>
          <w:p>
            <w:pPr>
              <w:spacing w:after="0"/>
              <w:rPr>
                <w:sz w:val="20"/>
                <w:szCs w:val="20"/>
                <w:color w:val="auto"/>
              </w:rPr>
            </w:pPr>
            <w:r>
              <w:rPr>
                <w:rFonts w:ascii="Arial" w:cs="Arial" w:eastAsia="Arial" w:hAnsi="Arial"/>
                <w:sz w:val="15"/>
                <w:szCs w:val="15"/>
                <w:color w:val="auto"/>
              </w:rPr>
              <w:t>Frank T. Gentry III</w:t>
            </w:r>
          </w:p>
        </w:tc>
        <w:tc>
          <w:tcPr>
            <w:tcW w:w="1280" w:type="dxa"/>
            <w:vAlign w:val="bottom"/>
          </w:tcPr>
          <w:p>
            <w:pPr>
              <w:jc w:val="center"/>
              <w:spacing w:after="0"/>
              <w:rPr>
                <w:sz w:val="20"/>
                <w:szCs w:val="20"/>
                <w:color w:val="auto"/>
              </w:rPr>
            </w:pPr>
            <w:r>
              <w:rPr>
                <w:rFonts w:ascii="Arial" w:cs="Arial" w:eastAsia="Arial" w:hAnsi="Arial"/>
                <w:sz w:val="15"/>
                <w:szCs w:val="15"/>
                <w:color w:val="auto"/>
                <w:w w:val="91"/>
              </w:rPr>
              <w:t>15,000</w:t>
            </w:r>
          </w:p>
        </w:tc>
        <w:tc>
          <w:tcPr>
            <w:tcW w:w="2200" w:type="dxa"/>
            <w:vAlign w:val="bottom"/>
          </w:tcPr>
          <w:p>
            <w:pPr>
              <w:jc w:val="center"/>
              <w:ind w:right="5"/>
              <w:spacing w:after="0"/>
              <w:rPr>
                <w:sz w:val="20"/>
                <w:szCs w:val="20"/>
                <w:color w:val="auto"/>
              </w:rPr>
            </w:pPr>
            <w:r>
              <w:rPr>
                <w:rFonts w:ascii="Arial" w:cs="Arial" w:eastAsia="Arial" w:hAnsi="Arial"/>
                <w:sz w:val="15"/>
                <w:szCs w:val="15"/>
                <w:color w:val="auto"/>
                <w:w w:val="93"/>
              </w:rPr>
              <w:t>5.6%</w:t>
            </w: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$11.61</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08/19/15</w:t>
            </w:r>
          </w:p>
        </w:tc>
        <w:tc>
          <w:tcPr>
            <w:tcW w:w="1260" w:type="dxa"/>
            <w:vAlign w:val="bottom"/>
          </w:tcPr>
          <w:p>
            <w:pPr>
              <w:jc w:val="center"/>
              <w:ind w:left="545"/>
              <w:spacing w:after="0"/>
              <w:rPr>
                <w:sz w:val="20"/>
                <w:szCs w:val="20"/>
                <w:color w:val="auto"/>
              </w:rPr>
            </w:pPr>
            <w:r>
              <w:rPr>
                <w:rFonts w:ascii="Arial" w:cs="Arial" w:eastAsia="Arial" w:hAnsi="Arial"/>
                <w:sz w:val="15"/>
                <w:szCs w:val="15"/>
                <w:color w:val="auto"/>
                <w:w w:val="89"/>
              </w:rPr>
              <w:t>$109,522</w:t>
            </w:r>
          </w:p>
        </w:tc>
        <w:tc>
          <w:tcPr>
            <w:tcW w:w="1960" w:type="dxa"/>
            <w:vAlign w:val="bottom"/>
          </w:tcPr>
          <w:p>
            <w:pPr>
              <w:jc w:val="center"/>
              <w:ind w:left="605"/>
              <w:spacing w:after="0"/>
              <w:rPr>
                <w:sz w:val="20"/>
                <w:szCs w:val="20"/>
                <w:color w:val="auto"/>
              </w:rPr>
            </w:pPr>
            <w:r>
              <w:rPr>
                <w:rFonts w:ascii="Arial" w:cs="Arial" w:eastAsia="Arial" w:hAnsi="Arial"/>
                <w:sz w:val="15"/>
                <w:szCs w:val="15"/>
                <w:color w:val="auto"/>
                <w:w w:val="89"/>
              </w:rPr>
              <w:t>$277,550</w:t>
            </w:r>
          </w:p>
        </w:tc>
      </w:tr>
      <w:tr>
        <w:trPr>
          <w:trHeight w:val="181"/>
        </w:trPr>
        <w:tc>
          <w:tcPr>
            <w:tcW w:w="1980" w:type="dxa"/>
            <w:vAlign w:val="bottom"/>
          </w:tcPr>
          <w:p>
            <w:pPr>
              <w:spacing w:after="0"/>
              <w:rPr>
                <w:sz w:val="20"/>
                <w:szCs w:val="20"/>
                <w:color w:val="auto"/>
              </w:rPr>
            </w:pPr>
            <w:r>
              <w:rPr>
                <w:rFonts w:ascii="Arial" w:cs="Arial" w:eastAsia="Arial" w:hAnsi="Arial"/>
                <w:sz w:val="15"/>
                <w:szCs w:val="15"/>
                <w:color w:val="auto"/>
              </w:rPr>
              <w:t>Robert R. Sams</w:t>
            </w:r>
          </w:p>
        </w:tc>
        <w:tc>
          <w:tcPr>
            <w:tcW w:w="1280" w:type="dxa"/>
            <w:vAlign w:val="bottom"/>
          </w:tcPr>
          <w:p>
            <w:pPr>
              <w:jc w:val="center"/>
              <w:spacing w:after="0"/>
              <w:rPr>
                <w:sz w:val="20"/>
                <w:szCs w:val="20"/>
                <w:color w:val="auto"/>
              </w:rPr>
            </w:pPr>
            <w:r>
              <w:rPr>
                <w:rFonts w:ascii="Arial" w:cs="Arial" w:eastAsia="Arial" w:hAnsi="Arial"/>
                <w:sz w:val="15"/>
                <w:szCs w:val="15"/>
                <w:color w:val="auto"/>
                <w:w w:val="91"/>
              </w:rPr>
              <w:t>12,000</w:t>
            </w:r>
          </w:p>
        </w:tc>
        <w:tc>
          <w:tcPr>
            <w:tcW w:w="2200" w:type="dxa"/>
            <w:vAlign w:val="bottom"/>
          </w:tcPr>
          <w:p>
            <w:pPr>
              <w:jc w:val="center"/>
              <w:ind w:right="5"/>
              <w:spacing w:after="0"/>
              <w:rPr>
                <w:sz w:val="20"/>
                <w:szCs w:val="20"/>
                <w:color w:val="auto"/>
              </w:rPr>
            </w:pPr>
            <w:r>
              <w:rPr>
                <w:rFonts w:ascii="Arial" w:cs="Arial" w:eastAsia="Arial" w:hAnsi="Arial"/>
                <w:sz w:val="15"/>
                <w:szCs w:val="15"/>
                <w:color w:val="auto"/>
                <w:w w:val="93"/>
              </w:rPr>
              <w:t>4.5%</w:t>
            </w: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$11.61</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08/19/15</w:t>
            </w:r>
          </w:p>
        </w:tc>
        <w:tc>
          <w:tcPr>
            <w:tcW w:w="1260" w:type="dxa"/>
            <w:vAlign w:val="bottom"/>
          </w:tcPr>
          <w:p>
            <w:pPr>
              <w:jc w:val="center"/>
              <w:ind w:left="545"/>
              <w:spacing w:after="0"/>
              <w:rPr>
                <w:sz w:val="20"/>
                <w:szCs w:val="20"/>
                <w:color w:val="auto"/>
              </w:rPr>
            </w:pPr>
            <w:r>
              <w:rPr>
                <w:rFonts w:ascii="Arial" w:cs="Arial" w:eastAsia="Arial" w:hAnsi="Arial"/>
                <w:sz w:val="15"/>
                <w:szCs w:val="15"/>
                <w:color w:val="auto"/>
                <w:w w:val="88"/>
              </w:rPr>
              <w:t>$87,618</w:t>
            </w:r>
          </w:p>
        </w:tc>
        <w:tc>
          <w:tcPr>
            <w:tcW w:w="1960" w:type="dxa"/>
            <w:vAlign w:val="bottom"/>
          </w:tcPr>
          <w:p>
            <w:pPr>
              <w:jc w:val="center"/>
              <w:ind w:left="605"/>
              <w:spacing w:after="0"/>
              <w:rPr>
                <w:sz w:val="20"/>
                <w:szCs w:val="20"/>
                <w:color w:val="auto"/>
              </w:rPr>
            </w:pPr>
            <w:r>
              <w:rPr>
                <w:rFonts w:ascii="Arial" w:cs="Arial" w:eastAsia="Arial" w:hAnsi="Arial"/>
                <w:sz w:val="15"/>
                <w:szCs w:val="15"/>
                <w:color w:val="auto"/>
                <w:w w:val="89"/>
              </w:rPr>
              <w:t>$222,040</w:t>
            </w:r>
          </w:p>
        </w:tc>
      </w:tr>
      <w:tr>
        <w:trPr>
          <w:trHeight w:val="181"/>
        </w:trPr>
        <w:tc>
          <w:tcPr>
            <w:tcW w:w="1980" w:type="dxa"/>
            <w:vAlign w:val="bottom"/>
          </w:tcPr>
          <w:p>
            <w:pPr>
              <w:spacing w:after="0"/>
              <w:rPr>
                <w:sz w:val="20"/>
                <w:szCs w:val="20"/>
                <w:color w:val="auto"/>
              </w:rPr>
            </w:pPr>
            <w:r>
              <w:rPr>
                <w:rFonts w:ascii="Arial" w:cs="Arial" w:eastAsia="Arial" w:hAnsi="Arial"/>
                <w:sz w:val="15"/>
                <w:szCs w:val="15"/>
                <w:color w:val="auto"/>
              </w:rPr>
              <w:t>William C. Kelly, Jr.</w:t>
            </w:r>
          </w:p>
        </w:tc>
        <w:tc>
          <w:tcPr>
            <w:tcW w:w="1280" w:type="dxa"/>
            <w:vAlign w:val="bottom"/>
          </w:tcPr>
          <w:p>
            <w:pPr>
              <w:jc w:val="center"/>
              <w:spacing w:after="0"/>
              <w:rPr>
                <w:sz w:val="20"/>
                <w:szCs w:val="20"/>
                <w:color w:val="auto"/>
              </w:rPr>
            </w:pPr>
            <w:r>
              <w:rPr>
                <w:rFonts w:ascii="Arial" w:cs="Arial" w:eastAsia="Arial" w:hAnsi="Arial"/>
                <w:sz w:val="15"/>
                <w:szCs w:val="15"/>
                <w:color w:val="auto"/>
                <w:w w:val="91"/>
              </w:rPr>
              <w:t>12,000</w:t>
            </w:r>
          </w:p>
        </w:tc>
        <w:tc>
          <w:tcPr>
            <w:tcW w:w="2200" w:type="dxa"/>
            <w:vAlign w:val="bottom"/>
          </w:tcPr>
          <w:p>
            <w:pPr>
              <w:jc w:val="center"/>
              <w:ind w:right="5"/>
              <w:spacing w:after="0"/>
              <w:rPr>
                <w:sz w:val="20"/>
                <w:szCs w:val="20"/>
                <w:color w:val="auto"/>
              </w:rPr>
            </w:pPr>
            <w:r>
              <w:rPr>
                <w:rFonts w:ascii="Arial" w:cs="Arial" w:eastAsia="Arial" w:hAnsi="Arial"/>
                <w:sz w:val="15"/>
                <w:szCs w:val="15"/>
                <w:color w:val="auto"/>
                <w:w w:val="93"/>
              </w:rPr>
              <w:t>4.5%</w:t>
            </w: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$11.61</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08/19/15</w:t>
            </w:r>
          </w:p>
        </w:tc>
        <w:tc>
          <w:tcPr>
            <w:tcW w:w="1260" w:type="dxa"/>
            <w:vAlign w:val="bottom"/>
          </w:tcPr>
          <w:p>
            <w:pPr>
              <w:jc w:val="center"/>
              <w:ind w:left="545"/>
              <w:spacing w:after="0"/>
              <w:rPr>
                <w:sz w:val="20"/>
                <w:szCs w:val="20"/>
                <w:color w:val="auto"/>
              </w:rPr>
            </w:pPr>
            <w:r>
              <w:rPr>
                <w:rFonts w:ascii="Arial" w:cs="Arial" w:eastAsia="Arial" w:hAnsi="Arial"/>
                <w:sz w:val="15"/>
                <w:szCs w:val="15"/>
                <w:color w:val="auto"/>
                <w:w w:val="88"/>
              </w:rPr>
              <w:t>$87,618</w:t>
            </w:r>
          </w:p>
        </w:tc>
        <w:tc>
          <w:tcPr>
            <w:tcW w:w="1960" w:type="dxa"/>
            <w:vAlign w:val="bottom"/>
          </w:tcPr>
          <w:p>
            <w:pPr>
              <w:jc w:val="center"/>
              <w:ind w:left="605"/>
              <w:spacing w:after="0"/>
              <w:rPr>
                <w:sz w:val="20"/>
                <w:szCs w:val="20"/>
                <w:color w:val="auto"/>
              </w:rPr>
            </w:pPr>
            <w:r>
              <w:rPr>
                <w:rFonts w:ascii="Arial" w:cs="Arial" w:eastAsia="Arial" w:hAnsi="Arial"/>
                <w:sz w:val="15"/>
                <w:szCs w:val="15"/>
                <w:color w:val="auto"/>
                <w:w w:val="89"/>
              </w:rPr>
              <w:t>$222,040</w:t>
            </w:r>
          </w:p>
        </w:tc>
      </w:tr>
      <w:tr>
        <w:trPr>
          <w:trHeight w:val="190"/>
        </w:trPr>
        <w:tc>
          <w:tcPr>
            <w:tcW w:w="1980" w:type="dxa"/>
            <w:vAlign w:val="bottom"/>
          </w:tcPr>
          <w:p>
            <w:pPr>
              <w:spacing w:after="0"/>
              <w:rPr>
                <w:sz w:val="20"/>
                <w:szCs w:val="20"/>
                <w:color w:val="auto"/>
              </w:rPr>
            </w:pPr>
            <w:r>
              <w:rPr>
                <w:rFonts w:ascii="Arial" w:cs="Arial" w:eastAsia="Arial" w:hAnsi="Arial"/>
                <w:sz w:val="15"/>
                <w:szCs w:val="15"/>
                <w:color w:val="auto"/>
                <w:w w:val="90"/>
              </w:rPr>
              <w:t>__________________________</w:t>
            </w:r>
          </w:p>
        </w:tc>
        <w:tc>
          <w:tcPr>
            <w:tcW w:w="1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217" w:lineRule="exact"/>
        <w:rPr>
          <w:sz w:val="20"/>
          <w:szCs w:val="20"/>
          <w:color w:val="auto"/>
        </w:rPr>
      </w:pPr>
    </w:p>
    <w:p>
      <w:pPr>
        <w:ind w:left="540" w:hanging="258"/>
        <w:spacing w:after="0" w:line="276"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exercise price is based on the fair market value at the date of the grant of the option. The options are fully vested and terminate ten years from the date of grant, subject to earlier termination in certain conditions.</w:t>
      </w:r>
    </w:p>
    <w:p>
      <w:pPr>
        <w:spacing w:after="0" w:line="190" w:lineRule="exact"/>
        <w:rPr>
          <w:rFonts w:ascii="Arial" w:cs="Arial" w:eastAsia="Arial" w:hAnsi="Arial"/>
          <w:sz w:val="15"/>
          <w:szCs w:val="15"/>
          <w:color w:val="auto"/>
        </w:rPr>
      </w:pPr>
    </w:p>
    <w:p>
      <w:pPr>
        <w:jc w:val="both"/>
        <w:ind w:left="540" w:hanging="258"/>
        <w:spacing w:after="0" w:line="291"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amounts shown as potential realizable values are based on assumed annualized rates of appreciation in the price of Common Stock of five percent and ten percent over the term of the options, as set forth in the rules of the Securities and Exchange Commission. Actual gains, if any, on stock option exercises are dependent upon the future performance of the Common Stock. There can be no assurance that the potential realizable values reflected in this table will be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AGGREGATED OPTION EXERCISES IN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YEAR-END OPTION VALUES</w:t>
      </w:r>
    </w:p>
    <w:p>
      <w:pPr>
        <w:spacing w:after="0" w:line="225" w:lineRule="exact"/>
        <w:rPr>
          <w:sz w:val="20"/>
          <w:szCs w:val="20"/>
          <w:color w:val="auto"/>
        </w:rPr>
      </w:pPr>
    </w:p>
    <w:p>
      <w:pPr>
        <w:ind w:right="580" w:firstLine="542"/>
        <w:spacing w:after="0" w:line="276" w:lineRule="auto"/>
        <w:rPr>
          <w:sz w:val="20"/>
          <w:szCs w:val="20"/>
          <w:color w:val="auto"/>
        </w:rPr>
      </w:pPr>
      <w:r>
        <w:rPr>
          <w:rFonts w:ascii="Arial" w:cs="Arial" w:eastAsia="Arial" w:hAnsi="Arial"/>
          <w:sz w:val="15"/>
          <w:szCs w:val="15"/>
          <w:color w:val="auto"/>
        </w:rPr>
        <w:t>The following table sets forth information concerning stock option exercises during 2005 and option values at year-end, with respect to stock options granted to the Named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00" w:type="dxa"/>
            <w:vAlign w:val="bottom"/>
          </w:tcPr>
          <w:p>
            <w:pPr>
              <w:jc w:val="center"/>
              <w:ind w:left="85"/>
              <w:spacing w:after="0"/>
              <w:rPr>
                <w:sz w:val="20"/>
                <w:szCs w:val="20"/>
                <w:color w:val="auto"/>
              </w:rPr>
            </w:pPr>
            <w:r>
              <w:rPr>
                <w:rFonts w:ascii="Arial" w:cs="Arial" w:eastAsia="Arial" w:hAnsi="Arial"/>
                <w:sz w:val="15"/>
                <w:szCs w:val="15"/>
                <w:b w:val="1"/>
                <w:bCs w:val="1"/>
                <w:color w:val="auto"/>
                <w:w w:val="91"/>
              </w:rPr>
              <w:t>Value of Unexercised In-The-Money</w:t>
            </w:r>
          </w:p>
        </w:tc>
      </w:tr>
      <w:tr>
        <w:trPr>
          <w:trHeight w:val="181"/>
        </w:trPr>
        <w:tc>
          <w:tcPr>
            <w:tcW w:w="2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00" w:type="dxa"/>
            <w:vAlign w:val="bottom"/>
          </w:tcPr>
          <w:p>
            <w:pPr>
              <w:jc w:val="center"/>
              <w:ind w:left="65"/>
              <w:spacing w:after="0"/>
              <w:rPr>
                <w:sz w:val="20"/>
                <w:szCs w:val="20"/>
                <w:color w:val="auto"/>
              </w:rPr>
            </w:pPr>
            <w:r>
              <w:rPr>
                <w:rFonts w:ascii="Arial" w:cs="Arial" w:eastAsia="Arial" w:hAnsi="Arial"/>
                <w:sz w:val="15"/>
                <w:szCs w:val="15"/>
                <w:b w:val="1"/>
                <w:bCs w:val="1"/>
                <w:color w:val="auto"/>
                <w:w w:val="90"/>
              </w:rPr>
              <w:t>Number of Unexercised</w:t>
            </w:r>
          </w:p>
        </w:tc>
        <w:tc>
          <w:tcPr>
            <w:tcW w:w="2800" w:type="dxa"/>
            <w:vAlign w:val="bottom"/>
          </w:tcPr>
          <w:p>
            <w:pPr>
              <w:jc w:val="center"/>
              <w:ind w:left="85"/>
              <w:spacing w:after="0"/>
              <w:rPr>
                <w:sz w:val="20"/>
                <w:szCs w:val="20"/>
                <w:color w:val="auto"/>
              </w:rPr>
            </w:pPr>
            <w:r>
              <w:rPr>
                <w:rFonts w:ascii="Arial" w:cs="Arial" w:eastAsia="Arial" w:hAnsi="Arial"/>
                <w:sz w:val="15"/>
                <w:szCs w:val="15"/>
                <w:b w:val="1"/>
                <w:bCs w:val="1"/>
                <w:color w:val="auto"/>
                <w:w w:val="91"/>
              </w:rPr>
              <w:t>Options</w:t>
            </w:r>
          </w:p>
        </w:tc>
      </w:tr>
      <w:tr>
        <w:trPr>
          <w:trHeight w:val="181"/>
        </w:trPr>
        <w:tc>
          <w:tcPr>
            <w:tcW w:w="2740" w:type="dxa"/>
            <w:vAlign w:val="bottom"/>
          </w:tcPr>
          <w:p>
            <w:pPr>
              <w:spacing w:after="0"/>
              <w:rPr>
                <w:sz w:val="15"/>
                <w:szCs w:val="15"/>
                <w:color w:val="auto"/>
              </w:rPr>
            </w:pPr>
          </w:p>
        </w:tc>
        <w:tc>
          <w:tcPr>
            <w:tcW w:w="1980" w:type="dxa"/>
            <w:vAlign w:val="bottom"/>
          </w:tcPr>
          <w:p>
            <w:pPr>
              <w:jc w:val="center"/>
              <w:ind w:left="285"/>
              <w:spacing w:after="0"/>
              <w:rPr>
                <w:sz w:val="20"/>
                <w:szCs w:val="20"/>
                <w:color w:val="auto"/>
              </w:rPr>
            </w:pPr>
            <w:r>
              <w:rPr>
                <w:rFonts w:ascii="Arial" w:cs="Arial" w:eastAsia="Arial" w:hAnsi="Arial"/>
                <w:sz w:val="15"/>
                <w:szCs w:val="15"/>
                <w:b w:val="1"/>
                <w:bCs w:val="1"/>
                <w:color w:val="auto"/>
                <w:w w:val="83"/>
              </w:rPr>
              <w:t>Shares</w:t>
            </w:r>
          </w:p>
        </w:tc>
        <w:tc>
          <w:tcPr>
            <w:tcW w:w="1620" w:type="dxa"/>
            <w:vAlign w:val="bottom"/>
          </w:tcPr>
          <w:p>
            <w:pPr>
              <w:spacing w:after="0"/>
              <w:rPr>
                <w:sz w:val="15"/>
                <w:szCs w:val="15"/>
                <w:color w:val="auto"/>
              </w:rPr>
            </w:pPr>
          </w:p>
        </w:tc>
        <w:tc>
          <w:tcPr>
            <w:tcW w:w="230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Options at Year-End</w:t>
            </w:r>
          </w:p>
        </w:tc>
        <w:tc>
          <w:tcPr>
            <w:tcW w:w="2800" w:type="dxa"/>
            <w:vAlign w:val="bottom"/>
          </w:tcPr>
          <w:p>
            <w:pPr>
              <w:jc w:val="center"/>
              <w:ind w:left="85"/>
              <w:spacing w:after="0"/>
              <w:rPr>
                <w:sz w:val="20"/>
                <w:szCs w:val="20"/>
                <w:color w:val="auto"/>
              </w:rPr>
            </w:pPr>
            <w:r>
              <w:rPr>
                <w:rFonts w:ascii="Arial" w:cs="Arial" w:eastAsia="Arial" w:hAnsi="Arial"/>
                <w:sz w:val="15"/>
                <w:szCs w:val="15"/>
                <w:b w:val="1"/>
                <w:bCs w:val="1"/>
                <w:color w:val="auto"/>
                <w:w w:val="94"/>
              </w:rPr>
              <w:t>at Year-End ($)</w:t>
            </w:r>
          </w:p>
        </w:tc>
      </w:tr>
      <w:tr>
        <w:trPr>
          <w:trHeight w:val="181"/>
        </w:trPr>
        <w:tc>
          <w:tcPr>
            <w:tcW w:w="2740" w:type="dxa"/>
            <w:vAlign w:val="bottom"/>
          </w:tcPr>
          <w:p>
            <w:pPr>
              <w:spacing w:after="0"/>
              <w:rPr>
                <w:sz w:val="15"/>
                <w:szCs w:val="15"/>
                <w:color w:val="auto"/>
              </w:rPr>
            </w:pPr>
          </w:p>
        </w:tc>
        <w:tc>
          <w:tcPr>
            <w:tcW w:w="1980" w:type="dxa"/>
            <w:vAlign w:val="bottom"/>
          </w:tcPr>
          <w:p>
            <w:pPr>
              <w:jc w:val="center"/>
              <w:ind w:left="285"/>
              <w:spacing w:after="0"/>
              <w:rPr>
                <w:sz w:val="20"/>
                <w:szCs w:val="20"/>
                <w:color w:val="auto"/>
              </w:rPr>
            </w:pPr>
            <w:r>
              <w:rPr>
                <w:rFonts w:ascii="Arial" w:cs="Arial" w:eastAsia="Arial" w:hAnsi="Arial"/>
                <w:sz w:val="15"/>
                <w:szCs w:val="15"/>
                <w:b w:val="1"/>
                <w:bCs w:val="1"/>
                <w:color w:val="auto"/>
                <w:w w:val="89"/>
              </w:rPr>
              <w:t>Acquired on</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89"/>
              </w:rPr>
              <w:t>Value</w:t>
            </w:r>
          </w:p>
        </w:tc>
        <w:tc>
          <w:tcPr>
            <w:tcW w:w="230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Exercisable/</w:t>
            </w:r>
          </w:p>
        </w:tc>
        <w:tc>
          <w:tcPr>
            <w:tcW w:w="2800" w:type="dxa"/>
            <w:vAlign w:val="bottom"/>
          </w:tcPr>
          <w:p>
            <w:pPr>
              <w:jc w:val="center"/>
              <w:ind w:left="85"/>
              <w:spacing w:after="0"/>
              <w:rPr>
                <w:sz w:val="20"/>
                <w:szCs w:val="20"/>
                <w:color w:val="auto"/>
              </w:rPr>
            </w:pPr>
            <w:r>
              <w:rPr>
                <w:rFonts w:ascii="Arial" w:cs="Arial" w:eastAsia="Arial" w:hAnsi="Arial"/>
                <w:sz w:val="15"/>
                <w:szCs w:val="15"/>
                <w:b w:val="1"/>
                <w:bCs w:val="1"/>
                <w:color w:val="auto"/>
                <w:w w:val="91"/>
              </w:rPr>
              <w:t>Exercisable/</w:t>
            </w:r>
          </w:p>
        </w:tc>
      </w:tr>
      <w:tr>
        <w:trPr>
          <w:trHeight w:val="195"/>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980" w:type="dxa"/>
            <w:vAlign w:val="bottom"/>
            <w:tcBorders>
              <w:bottom w:val="single" w:sz="8" w:color="auto"/>
            </w:tcBorders>
          </w:tcPr>
          <w:p>
            <w:pPr>
              <w:jc w:val="center"/>
              <w:ind w:left="285"/>
              <w:spacing w:after="0"/>
              <w:rPr>
                <w:sz w:val="20"/>
                <w:szCs w:val="20"/>
                <w:color w:val="auto"/>
              </w:rPr>
            </w:pPr>
            <w:r>
              <w:rPr>
                <w:rFonts w:ascii="Arial" w:cs="Arial" w:eastAsia="Arial" w:hAnsi="Arial"/>
                <w:sz w:val="15"/>
                <w:szCs w:val="15"/>
                <w:b w:val="1"/>
                <w:bCs w:val="1"/>
                <w:color w:val="auto"/>
                <w:w w:val="87"/>
              </w:rPr>
              <w:t>Exercise (#)</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Realized ($)</w:t>
            </w:r>
          </w:p>
        </w:tc>
        <w:tc>
          <w:tcPr>
            <w:tcW w:w="2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b w:val="1"/>
                <w:bCs w:val="1"/>
                <w:color w:val="auto"/>
                <w:w w:val="88"/>
              </w:rPr>
              <w:t>Unexercisable</w:t>
            </w:r>
          </w:p>
        </w:tc>
        <w:tc>
          <w:tcPr>
            <w:tcW w:w="28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b w:val="1"/>
                <w:bCs w:val="1"/>
                <w:color w:val="auto"/>
                <w:w w:val="89"/>
              </w:rPr>
              <w:t>Unexercisable(1)</w:t>
            </w:r>
          </w:p>
        </w:tc>
      </w:tr>
      <w:tr>
        <w:trPr>
          <w:trHeight w:val="365"/>
        </w:trPr>
        <w:tc>
          <w:tcPr>
            <w:tcW w:w="2740" w:type="dxa"/>
            <w:vAlign w:val="bottom"/>
          </w:tcPr>
          <w:p>
            <w:pPr>
              <w:spacing w:after="0"/>
              <w:rPr>
                <w:sz w:val="20"/>
                <w:szCs w:val="20"/>
                <w:color w:val="auto"/>
              </w:rPr>
            </w:pPr>
            <w:r>
              <w:rPr>
                <w:rFonts w:ascii="Arial" w:cs="Arial" w:eastAsia="Arial" w:hAnsi="Arial"/>
                <w:sz w:val="15"/>
                <w:szCs w:val="15"/>
                <w:color w:val="auto"/>
              </w:rPr>
              <w:t>Roderick R. Baty</w:t>
            </w:r>
          </w:p>
        </w:tc>
        <w:tc>
          <w:tcPr>
            <w:tcW w:w="1980" w:type="dxa"/>
            <w:vAlign w:val="bottom"/>
          </w:tcPr>
          <w:p>
            <w:pPr>
              <w:jc w:val="center"/>
              <w:ind w:left="285"/>
              <w:spacing w:after="0"/>
              <w:rPr>
                <w:sz w:val="20"/>
                <w:szCs w:val="20"/>
                <w:color w:val="auto"/>
              </w:rPr>
            </w:pPr>
            <w:r>
              <w:rPr>
                <w:rFonts w:ascii="Arial" w:cs="Arial" w:eastAsia="Arial" w:hAnsi="Arial"/>
                <w:sz w:val="15"/>
                <w:szCs w:val="15"/>
                <w:color w:val="auto"/>
                <w:w w:val="71"/>
              </w:rPr>
              <w:t>0</w:t>
            </w:r>
          </w:p>
        </w:tc>
        <w:tc>
          <w:tcPr>
            <w:tcW w:w="162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2300" w:type="dxa"/>
            <w:vAlign w:val="bottom"/>
          </w:tcPr>
          <w:p>
            <w:pPr>
              <w:jc w:val="center"/>
              <w:ind w:left="65"/>
              <w:spacing w:after="0"/>
              <w:rPr>
                <w:sz w:val="20"/>
                <w:szCs w:val="20"/>
                <w:color w:val="auto"/>
              </w:rPr>
            </w:pPr>
            <w:r>
              <w:rPr>
                <w:rFonts w:ascii="Arial" w:cs="Arial" w:eastAsia="Arial" w:hAnsi="Arial"/>
                <w:sz w:val="15"/>
                <w:szCs w:val="15"/>
                <w:color w:val="auto"/>
                <w:w w:val="89"/>
              </w:rPr>
              <w:t>376,300/0</w:t>
            </w:r>
          </w:p>
        </w:tc>
        <w:tc>
          <w:tcPr>
            <w:tcW w:w="2800" w:type="dxa"/>
            <w:vAlign w:val="bottom"/>
          </w:tcPr>
          <w:p>
            <w:pPr>
              <w:jc w:val="center"/>
              <w:ind w:left="85"/>
              <w:spacing w:after="0"/>
              <w:rPr>
                <w:sz w:val="20"/>
                <w:szCs w:val="20"/>
                <w:color w:val="auto"/>
              </w:rPr>
            </w:pPr>
            <w:r>
              <w:rPr>
                <w:rFonts w:ascii="Arial" w:cs="Arial" w:eastAsia="Arial" w:hAnsi="Arial"/>
                <w:sz w:val="15"/>
                <w:szCs w:val="15"/>
                <w:color w:val="auto"/>
                <w:w w:val="91"/>
              </w:rPr>
              <w:t>$1,004,718/0</w:t>
            </w:r>
          </w:p>
        </w:tc>
      </w:tr>
      <w:tr>
        <w:trPr>
          <w:trHeight w:val="181"/>
        </w:trPr>
        <w:tc>
          <w:tcPr>
            <w:tcW w:w="2740" w:type="dxa"/>
            <w:vAlign w:val="bottom"/>
          </w:tcPr>
          <w:p>
            <w:pPr>
              <w:spacing w:after="0"/>
              <w:rPr>
                <w:sz w:val="20"/>
                <w:szCs w:val="20"/>
                <w:color w:val="auto"/>
              </w:rPr>
            </w:pPr>
            <w:r>
              <w:rPr>
                <w:rFonts w:ascii="Arial" w:cs="Arial" w:eastAsia="Arial" w:hAnsi="Arial"/>
                <w:sz w:val="15"/>
                <w:szCs w:val="15"/>
                <w:color w:val="auto"/>
              </w:rPr>
              <w:t>Nicola Trombetti</w:t>
            </w:r>
          </w:p>
        </w:tc>
        <w:tc>
          <w:tcPr>
            <w:tcW w:w="1980" w:type="dxa"/>
            <w:vAlign w:val="bottom"/>
          </w:tcPr>
          <w:p>
            <w:pPr>
              <w:jc w:val="center"/>
              <w:ind w:left="285"/>
              <w:spacing w:after="0"/>
              <w:rPr>
                <w:sz w:val="20"/>
                <w:szCs w:val="20"/>
                <w:color w:val="auto"/>
              </w:rPr>
            </w:pPr>
            <w:r>
              <w:rPr>
                <w:rFonts w:ascii="Arial" w:cs="Arial" w:eastAsia="Arial" w:hAnsi="Arial"/>
                <w:sz w:val="15"/>
                <w:szCs w:val="15"/>
                <w:color w:val="auto"/>
                <w:w w:val="71"/>
              </w:rPr>
              <w:t>0</w:t>
            </w:r>
          </w:p>
        </w:tc>
        <w:tc>
          <w:tcPr>
            <w:tcW w:w="162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2300" w:type="dxa"/>
            <w:vAlign w:val="bottom"/>
          </w:tcPr>
          <w:p>
            <w:pPr>
              <w:jc w:val="center"/>
              <w:ind w:left="65"/>
              <w:spacing w:after="0"/>
              <w:rPr>
                <w:sz w:val="20"/>
                <w:szCs w:val="20"/>
                <w:color w:val="auto"/>
              </w:rPr>
            </w:pPr>
            <w:r>
              <w:rPr>
                <w:rFonts w:ascii="Arial" w:cs="Arial" w:eastAsia="Arial" w:hAnsi="Arial"/>
                <w:sz w:val="15"/>
                <w:szCs w:val="15"/>
                <w:color w:val="auto"/>
                <w:w w:val="88"/>
              </w:rPr>
              <w:t>53,000/0</w:t>
            </w:r>
          </w:p>
        </w:tc>
        <w:tc>
          <w:tcPr>
            <w:tcW w:w="2800" w:type="dxa"/>
            <w:vAlign w:val="bottom"/>
          </w:tcPr>
          <w:p>
            <w:pPr>
              <w:jc w:val="center"/>
              <w:ind w:left="85"/>
              <w:spacing w:after="0"/>
              <w:rPr>
                <w:sz w:val="20"/>
                <w:szCs w:val="20"/>
                <w:color w:val="auto"/>
              </w:rPr>
            </w:pPr>
            <w:r>
              <w:rPr>
                <w:rFonts w:ascii="Arial" w:cs="Arial" w:eastAsia="Arial" w:hAnsi="Arial"/>
                <w:sz w:val="15"/>
                <w:szCs w:val="15"/>
                <w:color w:val="auto"/>
                <w:w w:val="88"/>
              </w:rPr>
              <w:t>37,650/0</w:t>
            </w:r>
          </w:p>
        </w:tc>
      </w:tr>
      <w:tr>
        <w:trPr>
          <w:trHeight w:val="181"/>
        </w:trPr>
        <w:tc>
          <w:tcPr>
            <w:tcW w:w="2740" w:type="dxa"/>
            <w:vAlign w:val="bottom"/>
          </w:tcPr>
          <w:p>
            <w:pPr>
              <w:spacing w:after="0"/>
              <w:rPr>
                <w:sz w:val="20"/>
                <w:szCs w:val="20"/>
                <w:color w:val="auto"/>
              </w:rPr>
            </w:pPr>
            <w:r>
              <w:rPr>
                <w:rFonts w:ascii="Arial" w:cs="Arial" w:eastAsia="Arial" w:hAnsi="Arial"/>
                <w:sz w:val="15"/>
                <w:szCs w:val="15"/>
                <w:color w:val="auto"/>
              </w:rPr>
              <w:t>Frank T. Gentry III</w:t>
            </w:r>
          </w:p>
        </w:tc>
        <w:tc>
          <w:tcPr>
            <w:tcW w:w="1980" w:type="dxa"/>
            <w:vAlign w:val="bottom"/>
          </w:tcPr>
          <w:p>
            <w:pPr>
              <w:jc w:val="center"/>
              <w:ind w:left="285"/>
              <w:spacing w:after="0"/>
              <w:rPr>
                <w:sz w:val="20"/>
                <w:szCs w:val="20"/>
                <w:color w:val="auto"/>
              </w:rPr>
            </w:pPr>
            <w:r>
              <w:rPr>
                <w:rFonts w:ascii="Arial" w:cs="Arial" w:eastAsia="Arial" w:hAnsi="Arial"/>
                <w:sz w:val="15"/>
                <w:szCs w:val="15"/>
                <w:color w:val="auto"/>
                <w:w w:val="92"/>
              </w:rPr>
              <w:t>113,900</w:t>
            </w:r>
          </w:p>
        </w:tc>
        <w:tc>
          <w:tcPr>
            <w:tcW w:w="1620" w:type="dxa"/>
            <w:vAlign w:val="bottom"/>
          </w:tcPr>
          <w:p>
            <w:pPr>
              <w:jc w:val="center"/>
              <w:spacing w:after="0"/>
              <w:rPr>
                <w:sz w:val="20"/>
                <w:szCs w:val="20"/>
                <w:color w:val="auto"/>
              </w:rPr>
            </w:pPr>
            <w:r>
              <w:rPr>
                <w:rFonts w:ascii="Arial" w:cs="Arial" w:eastAsia="Arial" w:hAnsi="Arial"/>
                <w:sz w:val="15"/>
                <w:szCs w:val="15"/>
                <w:color w:val="auto"/>
                <w:w w:val="89"/>
              </w:rPr>
              <w:t>$612,531</w:t>
            </w:r>
          </w:p>
        </w:tc>
        <w:tc>
          <w:tcPr>
            <w:tcW w:w="2300" w:type="dxa"/>
            <w:vAlign w:val="bottom"/>
          </w:tcPr>
          <w:p>
            <w:pPr>
              <w:jc w:val="center"/>
              <w:ind w:left="65"/>
              <w:spacing w:after="0"/>
              <w:rPr>
                <w:sz w:val="20"/>
                <w:szCs w:val="20"/>
                <w:color w:val="auto"/>
              </w:rPr>
            </w:pPr>
            <w:r>
              <w:rPr>
                <w:rFonts w:ascii="Arial" w:cs="Arial" w:eastAsia="Arial" w:hAnsi="Arial"/>
                <w:sz w:val="15"/>
                <w:szCs w:val="15"/>
                <w:color w:val="auto"/>
                <w:w w:val="88"/>
              </w:rPr>
              <w:t>31,000/0</w:t>
            </w:r>
          </w:p>
        </w:tc>
        <w:tc>
          <w:tcPr>
            <w:tcW w:w="2800" w:type="dxa"/>
            <w:vAlign w:val="bottom"/>
          </w:tcPr>
          <w:p>
            <w:pPr>
              <w:jc w:val="center"/>
              <w:ind w:left="85"/>
              <w:spacing w:after="0"/>
              <w:rPr>
                <w:sz w:val="20"/>
                <w:szCs w:val="20"/>
                <w:color w:val="auto"/>
              </w:rPr>
            </w:pPr>
            <w:r>
              <w:rPr>
                <w:rFonts w:ascii="Arial" w:cs="Arial" w:eastAsia="Arial" w:hAnsi="Arial"/>
                <w:sz w:val="15"/>
                <w:szCs w:val="15"/>
                <w:color w:val="auto"/>
                <w:w w:val="95"/>
              </w:rPr>
              <w:t>0/0</w:t>
            </w:r>
          </w:p>
        </w:tc>
      </w:tr>
      <w:tr>
        <w:trPr>
          <w:trHeight w:val="181"/>
        </w:trPr>
        <w:tc>
          <w:tcPr>
            <w:tcW w:w="2740" w:type="dxa"/>
            <w:vAlign w:val="bottom"/>
          </w:tcPr>
          <w:p>
            <w:pPr>
              <w:spacing w:after="0"/>
              <w:rPr>
                <w:sz w:val="20"/>
                <w:szCs w:val="20"/>
                <w:color w:val="auto"/>
              </w:rPr>
            </w:pPr>
            <w:r>
              <w:rPr>
                <w:rFonts w:ascii="Arial" w:cs="Arial" w:eastAsia="Arial" w:hAnsi="Arial"/>
                <w:sz w:val="15"/>
                <w:szCs w:val="15"/>
                <w:color w:val="auto"/>
              </w:rPr>
              <w:t>Robert R. Sams</w:t>
            </w:r>
          </w:p>
        </w:tc>
        <w:tc>
          <w:tcPr>
            <w:tcW w:w="1980" w:type="dxa"/>
            <w:vAlign w:val="bottom"/>
          </w:tcPr>
          <w:p>
            <w:pPr>
              <w:jc w:val="center"/>
              <w:ind w:left="285"/>
              <w:spacing w:after="0"/>
              <w:rPr>
                <w:sz w:val="20"/>
                <w:szCs w:val="20"/>
                <w:color w:val="auto"/>
              </w:rPr>
            </w:pPr>
            <w:r>
              <w:rPr>
                <w:rFonts w:ascii="Arial" w:cs="Arial" w:eastAsia="Arial" w:hAnsi="Arial"/>
                <w:sz w:val="15"/>
                <w:szCs w:val="15"/>
                <w:color w:val="auto"/>
                <w:w w:val="71"/>
              </w:rPr>
              <w:t>0</w:t>
            </w:r>
          </w:p>
        </w:tc>
        <w:tc>
          <w:tcPr>
            <w:tcW w:w="162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2300" w:type="dxa"/>
            <w:vAlign w:val="bottom"/>
          </w:tcPr>
          <w:p>
            <w:pPr>
              <w:jc w:val="center"/>
              <w:ind w:left="65"/>
              <w:spacing w:after="0"/>
              <w:rPr>
                <w:sz w:val="20"/>
                <w:szCs w:val="20"/>
                <w:color w:val="auto"/>
              </w:rPr>
            </w:pPr>
            <w:r>
              <w:rPr>
                <w:rFonts w:ascii="Arial" w:cs="Arial" w:eastAsia="Arial" w:hAnsi="Arial"/>
                <w:sz w:val="15"/>
                <w:szCs w:val="15"/>
                <w:color w:val="auto"/>
                <w:w w:val="88"/>
              </w:rPr>
              <w:t>95,600/0</w:t>
            </w:r>
          </w:p>
        </w:tc>
        <w:tc>
          <w:tcPr>
            <w:tcW w:w="2800" w:type="dxa"/>
            <w:vAlign w:val="bottom"/>
          </w:tcPr>
          <w:p>
            <w:pPr>
              <w:jc w:val="center"/>
              <w:ind w:left="85"/>
              <w:spacing w:after="0"/>
              <w:rPr>
                <w:sz w:val="20"/>
                <w:szCs w:val="20"/>
                <w:color w:val="auto"/>
              </w:rPr>
            </w:pPr>
            <w:r>
              <w:rPr>
                <w:rFonts w:ascii="Arial" w:cs="Arial" w:eastAsia="Arial" w:hAnsi="Arial"/>
                <w:sz w:val="15"/>
                <w:szCs w:val="15"/>
                <w:color w:val="auto"/>
                <w:w w:val="89"/>
              </w:rPr>
              <w:t>227,962/0</w:t>
            </w:r>
          </w:p>
        </w:tc>
      </w:tr>
      <w:tr>
        <w:trPr>
          <w:trHeight w:val="181"/>
        </w:trPr>
        <w:tc>
          <w:tcPr>
            <w:tcW w:w="2740" w:type="dxa"/>
            <w:vAlign w:val="bottom"/>
          </w:tcPr>
          <w:p>
            <w:pPr>
              <w:spacing w:after="0"/>
              <w:rPr>
                <w:sz w:val="20"/>
                <w:szCs w:val="20"/>
                <w:color w:val="auto"/>
              </w:rPr>
            </w:pPr>
            <w:r>
              <w:rPr>
                <w:rFonts w:ascii="Arial" w:cs="Arial" w:eastAsia="Arial" w:hAnsi="Arial"/>
                <w:sz w:val="15"/>
                <w:szCs w:val="15"/>
                <w:color w:val="auto"/>
              </w:rPr>
              <w:t>William C. Kelly, Jr.</w:t>
            </w:r>
          </w:p>
        </w:tc>
        <w:tc>
          <w:tcPr>
            <w:tcW w:w="1980" w:type="dxa"/>
            <w:vAlign w:val="bottom"/>
          </w:tcPr>
          <w:p>
            <w:pPr>
              <w:jc w:val="center"/>
              <w:ind w:left="285"/>
              <w:spacing w:after="0"/>
              <w:rPr>
                <w:sz w:val="20"/>
                <w:szCs w:val="20"/>
                <w:color w:val="auto"/>
              </w:rPr>
            </w:pPr>
            <w:r>
              <w:rPr>
                <w:rFonts w:ascii="Arial" w:cs="Arial" w:eastAsia="Arial" w:hAnsi="Arial"/>
                <w:sz w:val="15"/>
                <w:szCs w:val="15"/>
                <w:color w:val="auto"/>
                <w:w w:val="71"/>
              </w:rPr>
              <w:t>0</w:t>
            </w:r>
          </w:p>
        </w:tc>
        <w:tc>
          <w:tcPr>
            <w:tcW w:w="162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2300" w:type="dxa"/>
            <w:vAlign w:val="bottom"/>
          </w:tcPr>
          <w:p>
            <w:pPr>
              <w:jc w:val="center"/>
              <w:ind w:left="65"/>
              <w:spacing w:after="0"/>
              <w:rPr>
                <w:sz w:val="20"/>
                <w:szCs w:val="20"/>
                <w:color w:val="auto"/>
              </w:rPr>
            </w:pPr>
            <w:r>
              <w:rPr>
                <w:rFonts w:ascii="Arial" w:cs="Arial" w:eastAsia="Arial" w:hAnsi="Arial"/>
                <w:sz w:val="15"/>
                <w:szCs w:val="15"/>
                <w:color w:val="auto"/>
                <w:w w:val="88"/>
              </w:rPr>
              <w:t>76,850/0</w:t>
            </w:r>
          </w:p>
        </w:tc>
        <w:tc>
          <w:tcPr>
            <w:tcW w:w="2800" w:type="dxa"/>
            <w:vAlign w:val="bottom"/>
          </w:tcPr>
          <w:p>
            <w:pPr>
              <w:jc w:val="center"/>
              <w:ind w:left="85"/>
              <w:spacing w:after="0"/>
              <w:rPr>
                <w:sz w:val="20"/>
                <w:szCs w:val="20"/>
                <w:color w:val="auto"/>
              </w:rPr>
            </w:pPr>
            <w:r>
              <w:rPr>
                <w:rFonts w:ascii="Arial" w:cs="Arial" w:eastAsia="Arial" w:hAnsi="Arial"/>
                <w:sz w:val="15"/>
                <w:szCs w:val="15"/>
                <w:color w:val="auto"/>
                <w:w w:val="89"/>
              </w:rPr>
              <w:t>163,484/0</w:t>
            </w:r>
          </w:p>
        </w:tc>
      </w:tr>
      <w:tr>
        <w:trPr>
          <w:trHeight w:val="190"/>
        </w:trPr>
        <w:tc>
          <w:tcPr>
            <w:tcW w:w="2740" w:type="dxa"/>
            <w:vAlign w:val="bottom"/>
          </w:tcPr>
          <w:p>
            <w:pPr>
              <w:spacing w:after="0"/>
              <w:rPr>
                <w:sz w:val="20"/>
                <w:szCs w:val="20"/>
                <w:color w:val="auto"/>
              </w:rPr>
            </w:pPr>
            <w:r>
              <w:rPr>
                <w:rFonts w:ascii="Arial" w:cs="Arial" w:eastAsia="Arial" w:hAnsi="Arial"/>
                <w:sz w:val="15"/>
                <w:szCs w:val="15"/>
                <w:color w:val="auto"/>
              </w:rPr>
              <w:t>__________________________</w:t>
            </w:r>
          </w:p>
        </w:tc>
        <w:tc>
          <w:tcPr>
            <w:tcW w:w="1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0" w:type="dxa"/>
            <w:vAlign w:val="bottom"/>
          </w:tcPr>
          <w:p>
            <w:pPr>
              <w:spacing w:after="0"/>
              <w:rPr>
                <w:sz w:val="16"/>
                <w:szCs w:val="16"/>
                <w:color w:val="auto"/>
              </w:rPr>
            </w:pPr>
          </w:p>
        </w:tc>
      </w:tr>
    </w:tbl>
    <w:p>
      <w:pPr>
        <w:spacing w:after="0" w:line="2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 On December 31, 2005, the market price of the Common Stock was $10.60 per share.</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38" w:lineRule="exact"/>
        <w:rPr>
          <w:sz w:val="20"/>
          <w:szCs w:val="20"/>
          <w:color w:val="auto"/>
        </w:rPr>
      </w:pPr>
    </w:p>
    <w:p>
      <w:pPr>
        <w:ind w:right="500" w:firstLine="542"/>
        <w:spacing w:after="0" w:line="276" w:lineRule="auto"/>
        <w:rPr>
          <w:sz w:val="20"/>
          <w:szCs w:val="20"/>
          <w:color w:val="auto"/>
        </w:rPr>
      </w:pPr>
      <w:r>
        <w:rPr>
          <w:rFonts w:ascii="Arial" w:cs="Arial" w:eastAsia="Arial" w:hAnsi="Arial"/>
          <w:sz w:val="15"/>
          <w:szCs w:val="15"/>
          <w:color w:val="auto"/>
        </w:rPr>
        <w:t>The following table provides information about the Company’s shares of Common Stock that may be issued upon the exercise of options, warrants and rights under all of its existing equity compensation plans as of December 31, 2005. All plans have been approved by the Company’s shareholders.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87"/>
              </w:rPr>
              <w:t>(c)</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87"/>
              </w:rPr>
              <w:t>(a)</w:t>
            </w:r>
          </w:p>
        </w:tc>
        <w:tc>
          <w:tcPr>
            <w:tcW w:w="288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 securities remaining available</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88"/>
              </w:rPr>
              <w:t>Number of securities to be issued upon</w:t>
            </w:r>
          </w:p>
        </w:tc>
        <w:tc>
          <w:tcPr>
            <w:tcW w:w="2880" w:type="dxa"/>
            <w:vAlign w:val="bottom"/>
          </w:tcPr>
          <w:p>
            <w:pPr>
              <w:jc w:val="center"/>
              <w:spacing w:after="0"/>
              <w:rPr>
                <w:sz w:val="20"/>
                <w:szCs w:val="20"/>
                <w:color w:val="auto"/>
              </w:rPr>
            </w:pPr>
            <w:r>
              <w:rPr>
                <w:rFonts w:ascii="Arial" w:cs="Arial" w:eastAsia="Arial" w:hAnsi="Arial"/>
                <w:sz w:val="15"/>
                <w:szCs w:val="15"/>
                <w:b w:val="1"/>
                <w:bCs w:val="1"/>
                <w:color w:val="auto"/>
              </w:rPr>
              <w:t>(b)</w:t>
            </w: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89"/>
              </w:rPr>
              <w:t>for future issuance under equity</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88"/>
              </w:rPr>
              <w:t>exercise of outstanding options, warrants</w:t>
            </w:r>
          </w:p>
        </w:tc>
        <w:tc>
          <w:tcPr>
            <w:tcW w:w="2880" w:type="dxa"/>
            <w:vAlign w:val="bottom"/>
          </w:tcPr>
          <w:p>
            <w:pPr>
              <w:jc w:val="center"/>
              <w:spacing w:after="0"/>
              <w:rPr>
                <w:sz w:val="20"/>
                <w:szCs w:val="20"/>
                <w:color w:val="auto"/>
              </w:rPr>
            </w:pPr>
            <w:r>
              <w:rPr>
                <w:rFonts w:ascii="Arial" w:cs="Arial" w:eastAsia="Arial" w:hAnsi="Arial"/>
                <w:sz w:val="15"/>
                <w:szCs w:val="15"/>
                <w:b w:val="1"/>
                <w:bCs w:val="1"/>
                <w:color w:val="auto"/>
                <w:w w:val="88"/>
              </w:rPr>
              <w:t>Weighted-average exercise price of</w:t>
            </w: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87"/>
              </w:rPr>
              <w:t>compensation plans (excluding securities</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Plan Category</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and rights.</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outstanding options, warrants and rights.</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reflected in column a)</w:t>
            </w:r>
          </w:p>
        </w:tc>
        <w:tc>
          <w:tcPr>
            <w:tcW w:w="0" w:type="dxa"/>
            <w:vAlign w:val="bottom"/>
          </w:tcPr>
          <w:p>
            <w:pPr>
              <w:spacing w:after="0"/>
              <w:rPr>
                <w:sz w:val="1"/>
                <w:szCs w:val="1"/>
                <w:color w:val="auto"/>
              </w:rPr>
            </w:pPr>
          </w:p>
        </w:tc>
      </w:tr>
      <w:tr>
        <w:trPr>
          <w:trHeight w:val="388"/>
        </w:trPr>
        <w:tc>
          <w:tcPr>
            <w:tcW w:w="2840" w:type="dxa"/>
            <w:vAlign w:val="bottom"/>
          </w:tcPr>
          <w:p>
            <w:pPr>
              <w:spacing w:after="0"/>
              <w:rPr>
                <w:sz w:val="20"/>
                <w:szCs w:val="20"/>
                <w:color w:val="auto"/>
              </w:rPr>
            </w:pPr>
            <w:r>
              <w:rPr>
                <w:rFonts w:ascii="Arial" w:cs="Arial" w:eastAsia="Arial" w:hAnsi="Arial"/>
                <w:sz w:val="15"/>
                <w:szCs w:val="15"/>
                <w:color w:val="auto"/>
              </w:rPr>
              <w:t>Equity compensation plans approved by</w:t>
            </w:r>
          </w:p>
        </w:tc>
        <w:tc>
          <w:tcPr>
            <w:tcW w:w="2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20"/>
                <w:szCs w:val="20"/>
                <w:color w:val="auto"/>
              </w:rPr>
            </w:pPr>
            <w:r>
              <w:rPr>
                <w:rFonts w:ascii="Arial" w:cs="Arial" w:eastAsia="Arial" w:hAnsi="Arial"/>
                <w:sz w:val="15"/>
                <w:szCs w:val="15"/>
                <w:color w:val="auto"/>
              </w:rPr>
              <w:t>shareholders</w:t>
            </w:r>
          </w:p>
        </w:tc>
        <w:tc>
          <w:tcPr>
            <w:tcW w:w="2860" w:type="dxa"/>
            <w:vAlign w:val="bottom"/>
          </w:tcPr>
          <w:p>
            <w:pPr>
              <w:jc w:val="center"/>
              <w:spacing w:after="0"/>
              <w:rPr>
                <w:sz w:val="20"/>
                <w:szCs w:val="20"/>
                <w:color w:val="auto"/>
              </w:rPr>
            </w:pPr>
            <w:r>
              <w:rPr>
                <w:rFonts w:ascii="Arial" w:cs="Arial" w:eastAsia="Arial" w:hAnsi="Arial"/>
                <w:sz w:val="15"/>
                <w:szCs w:val="15"/>
                <w:color w:val="auto"/>
                <w:w w:val="89"/>
              </w:rPr>
              <w:t>1,403,386</w:t>
            </w:r>
          </w:p>
        </w:tc>
        <w:tc>
          <w:tcPr>
            <w:tcW w:w="2880" w:type="dxa"/>
            <w:vAlign w:val="bottom"/>
          </w:tcPr>
          <w:p>
            <w:pPr>
              <w:jc w:val="center"/>
              <w:spacing w:after="0"/>
              <w:rPr>
                <w:sz w:val="20"/>
                <w:szCs w:val="20"/>
                <w:color w:val="auto"/>
              </w:rPr>
            </w:pPr>
            <w:r>
              <w:rPr>
                <w:rFonts w:ascii="Arial" w:cs="Arial" w:eastAsia="Arial" w:hAnsi="Arial"/>
                <w:sz w:val="15"/>
                <w:szCs w:val="15"/>
                <w:color w:val="auto"/>
                <w:w w:val="90"/>
              </w:rPr>
              <w:t>$9.56</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980,000</w:t>
            </w:r>
          </w:p>
        </w:tc>
        <w:tc>
          <w:tcPr>
            <w:tcW w:w="0" w:type="dxa"/>
            <w:vAlign w:val="bottom"/>
          </w:tcPr>
          <w:p>
            <w:pPr>
              <w:spacing w:after="0"/>
              <w:rPr>
                <w:sz w:val="1"/>
                <w:szCs w:val="1"/>
                <w:color w:val="auto"/>
              </w:rPr>
            </w:pPr>
          </w:p>
        </w:tc>
      </w:tr>
      <w:tr>
        <w:trPr>
          <w:trHeight w:val="397"/>
        </w:trPr>
        <w:tc>
          <w:tcPr>
            <w:tcW w:w="2840" w:type="dxa"/>
            <w:vAlign w:val="bottom"/>
          </w:tcPr>
          <w:p>
            <w:pPr>
              <w:spacing w:after="0"/>
              <w:rPr>
                <w:sz w:val="20"/>
                <w:szCs w:val="20"/>
                <w:color w:val="auto"/>
              </w:rPr>
            </w:pPr>
            <w:r>
              <w:rPr>
                <w:rFonts w:ascii="Arial" w:cs="Arial" w:eastAsia="Arial" w:hAnsi="Arial"/>
                <w:sz w:val="15"/>
                <w:szCs w:val="15"/>
                <w:color w:val="auto"/>
                <w:w w:val="96"/>
              </w:rPr>
              <w:t>Equity compensation plans not approved by</w:t>
            </w:r>
          </w:p>
        </w:tc>
        <w:tc>
          <w:tcPr>
            <w:tcW w:w="2860" w:type="dxa"/>
            <w:vAlign w:val="bottom"/>
            <w:vMerge w:val="restart"/>
          </w:tcPr>
          <w:p>
            <w:pPr>
              <w:jc w:val="center"/>
              <w:spacing w:after="0"/>
              <w:rPr>
                <w:sz w:val="20"/>
                <w:szCs w:val="20"/>
                <w:color w:val="auto"/>
              </w:rPr>
            </w:pPr>
            <w:r>
              <w:rPr>
                <w:rFonts w:ascii="Arial" w:cs="Arial" w:eastAsia="Arial" w:hAnsi="Arial"/>
                <w:sz w:val="15"/>
                <w:szCs w:val="15"/>
                <w:color w:val="auto"/>
                <w:w w:val="99"/>
              </w:rPr>
              <w:t>--</w:t>
            </w:r>
          </w:p>
        </w:tc>
        <w:tc>
          <w:tcPr>
            <w:tcW w:w="2880" w:type="dxa"/>
            <w:vAlign w:val="bottom"/>
            <w:vMerge w:val="restart"/>
          </w:tcPr>
          <w:p>
            <w:pPr>
              <w:jc w:val="center"/>
              <w:spacing w:after="0"/>
              <w:rPr>
                <w:sz w:val="20"/>
                <w:szCs w:val="20"/>
                <w:color w:val="auto"/>
              </w:rPr>
            </w:pPr>
            <w:r>
              <w:rPr>
                <w:rFonts w:ascii="Arial" w:cs="Arial" w:eastAsia="Arial" w:hAnsi="Arial"/>
                <w:sz w:val="15"/>
                <w:szCs w:val="15"/>
                <w:color w:val="auto"/>
                <w:w w:val="99"/>
              </w:rPr>
              <w:t>--</w:t>
            </w:r>
          </w:p>
        </w:tc>
        <w:tc>
          <w:tcPr>
            <w:tcW w:w="2860" w:type="dxa"/>
            <w:vAlign w:val="bottom"/>
            <w:vMerge w:val="restart"/>
          </w:tcPr>
          <w:p>
            <w:pPr>
              <w:jc w:val="center"/>
              <w:spacing w:after="0"/>
              <w:rPr>
                <w:sz w:val="20"/>
                <w:szCs w:val="20"/>
                <w:color w:val="auto"/>
              </w:rPr>
            </w:pPr>
            <w:r>
              <w:rPr>
                <w:rFonts w:ascii="Arial" w:cs="Arial" w:eastAsia="Arial" w:hAnsi="Arial"/>
                <w:sz w:val="15"/>
                <w:szCs w:val="15"/>
                <w:color w:val="auto"/>
                <w:w w:val="99"/>
              </w:rPr>
              <w:t>--</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20"/>
                <w:szCs w:val="20"/>
                <w:color w:val="auto"/>
              </w:rPr>
            </w:pPr>
            <w:r>
              <w:rPr>
                <w:rFonts w:ascii="Arial" w:cs="Arial" w:eastAsia="Arial" w:hAnsi="Arial"/>
                <w:sz w:val="15"/>
                <w:szCs w:val="15"/>
                <w:color w:val="auto"/>
              </w:rPr>
              <w:t>shareholders</w:t>
            </w:r>
          </w:p>
        </w:tc>
        <w:tc>
          <w:tcPr>
            <w:tcW w:w="2860" w:type="dxa"/>
            <w:vAlign w:val="bottom"/>
            <w:tcBorders>
              <w:bottom w:val="single" w:sz="8" w:color="auto"/>
            </w:tcBorders>
            <w:vMerge w:val="continue"/>
          </w:tcPr>
          <w:p>
            <w:pPr>
              <w:spacing w:after="0"/>
              <w:rPr>
                <w:sz w:val="15"/>
                <w:szCs w:val="15"/>
                <w:color w:val="auto"/>
              </w:rPr>
            </w:pPr>
          </w:p>
        </w:tc>
        <w:tc>
          <w:tcPr>
            <w:tcW w:w="288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2840" w:type="dxa"/>
            <w:vAlign w:val="bottom"/>
          </w:tcPr>
          <w:p>
            <w:pPr>
              <w:spacing w:after="0"/>
              <w:rPr>
                <w:sz w:val="20"/>
                <w:szCs w:val="20"/>
                <w:color w:val="auto"/>
              </w:rPr>
            </w:pPr>
            <w:r>
              <w:rPr>
                <w:rFonts w:ascii="Arial" w:cs="Arial" w:eastAsia="Arial" w:hAnsi="Arial"/>
                <w:sz w:val="15"/>
                <w:szCs w:val="15"/>
                <w:color w:val="auto"/>
              </w:rPr>
              <w:t>Total</w:t>
            </w:r>
          </w:p>
        </w:tc>
        <w:tc>
          <w:tcPr>
            <w:tcW w:w="2860" w:type="dxa"/>
            <w:vAlign w:val="bottom"/>
          </w:tcPr>
          <w:p>
            <w:pPr>
              <w:jc w:val="center"/>
              <w:spacing w:after="0"/>
              <w:rPr>
                <w:sz w:val="20"/>
                <w:szCs w:val="20"/>
                <w:color w:val="auto"/>
              </w:rPr>
            </w:pPr>
            <w:r>
              <w:rPr>
                <w:rFonts w:ascii="Arial" w:cs="Arial" w:eastAsia="Arial" w:hAnsi="Arial"/>
                <w:sz w:val="15"/>
                <w:szCs w:val="15"/>
                <w:color w:val="auto"/>
                <w:w w:val="89"/>
              </w:rPr>
              <w:t>1,403,386</w:t>
            </w:r>
          </w:p>
        </w:tc>
        <w:tc>
          <w:tcPr>
            <w:tcW w:w="2880" w:type="dxa"/>
            <w:vAlign w:val="bottom"/>
          </w:tcPr>
          <w:p>
            <w:pPr>
              <w:jc w:val="center"/>
              <w:spacing w:after="0"/>
              <w:rPr>
                <w:sz w:val="20"/>
                <w:szCs w:val="20"/>
                <w:color w:val="auto"/>
              </w:rPr>
            </w:pPr>
            <w:r>
              <w:rPr>
                <w:rFonts w:ascii="Arial" w:cs="Arial" w:eastAsia="Arial" w:hAnsi="Arial"/>
                <w:sz w:val="15"/>
                <w:szCs w:val="15"/>
                <w:color w:val="auto"/>
                <w:w w:val="90"/>
              </w:rPr>
              <w:t>$9.56</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980,000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and Change of Control Agreements with Named Executive Officers</w:t>
      </w:r>
    </w:p>
    <w:p>
      <w:pPr>
        <w:spacing w:after="0" w:line="238" w:lineRule="exact"/>
        <w:rPr>
          <w:sz w:val="20"/>
          <w:szCs w:val="20"/>
          <w:color w:val="auto"/>
        </w:rPr>
      </w:pPr>
    </w:p>
    <w:p>
      <w:pPr>
        <w:ind w:right="60" w:firstLine="542"/>
        <w:spacing w:after="0" w:line="255" w:lineRule="auto"/>
        <w:rPr>
          <w:sz w:val="20"/>
          <w:szCs w:val="20"/>
          <w:color w:val="auto"/>
        </w:rPr>
      </w:pPr>
      <w:r>
        <w:rPr>
          <w:rFonts w:ascii="Arial" w:cs="Arial" w:eastAsia="Arial" w:hAnsi="Arial"/>
          <w:sz w:val="15"/>
          <w:szCs w:val="15"/>
          <w:color w:val="auto"/>
        </w:rPr>
        <w:t>Messrs. Baty, Gentry, Sams and Kelly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Gentry, Sams and Kelly have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Gentry - 2.0; Mr. Sams - 2.0; and Mr. Kelly - 1.5. Additionally, some benefits will continue to be paid by the Company to each executive officer for a period of time of 30 months, 24 months, 24 months and 18 months for Messrs. Baty, Gentry, Sams and Kelly, respectively. Each of Messrs. Baty, Gentry, Sams and Kelly have also agreed to a non-competition agreement that ends two years after the conclusion of his employment with the Company.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 AUDIT COMMITTEE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TO SHAREHOLDERS</w:t>
      </w:r>
    </w:p>
    <w:p>
      <w:pPr>
        <w:spacing w:after="0" w:line="225" w:lineRule="exact"/>
        <w:rPr>
          <w:sz w:val="20"/>
          <w:szCs w:val="20"/>
          <w:color w:val="auto"/>
        </w:rPr>
      </w:pPr>
    </w:p>
    <w:p>
      <w:pPr>
        <w:ind w:right="40" w:firstLine="542"/>
        <w:spacing w:after="0" w:line="259" w:lineRule="auto"/>
        <w:rPr>
          <w:sz w:val="20"/>
          <w:szCs w:val="20"/>
          <w:color w:val="auto"/>
        </w:rPr>
      </w:pPr>
      <w:r>
        <w:rPr>
          <w:rFonts w:ascii="Arial" w:cs="Arial" w:eastAsia="Arial" w:hAnsi="Arial"/>
          <w:sz w:val="15"/>
          <w:szCs w:val="15"/>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registered independent public accounting firm has responsibility for the examination of those statements. Each of the members of the Audit Committee meets the independence requirements of the Nasdaq rules.</w:t>
      </w:r>
    </w:p>
    <w:p>
      <w:pPr>
        <w:spacing w:after="0" w:line="205" w:lineRule="exact"/>
        <w:rPr>
          <w:sz w:val="20"/>
          <w:szCs w:val="20"/>
          <w:color w:val="auto"/>
        </w:rPr>
      </w:pPr>
    </w:p>
    <w:p>
      <w:pPr>
        <w:ind w:right="60" w:firstLine="542"/>
        <w:spacing w:after="0" w:line="255" w:lineRule="auto"/>
        <w:rPr>
          <w:sz w:val="20"/>
          <w:szCs w:val="20"/>
          <w:color w:val="auto"/>
        </w:rPr>
      </w:pPr>
      <w:r>
        <w:rPr>
          <w:rFonts w:ascii="Arial" w:cs="Arial" w:eastAsia="Arial" w:hAnsi="Arial"/>
          <w:sz w:val="15"/>
          <w:szCs w:val="15"/>
          <w:color w:val="auto"/>
        </w:rPr>
        <w:t>The Audit Committee has reviewed and discussed with the Company’s management and PricewaterhouseCoopers LLP, the Company’s registered independent public accounting firm, the audited financial statements of the Company for 2005; has discussed with PricewaterhouseCoopers LLP matters required to be discussed by applicable Auditing Standards; has received from the registered independent public accounting firm the written disclosures and letter required by Independence Standards No. 1;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2005 for filing with the Securities and Exchange Commission.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ind w:right="100" w:firstLine="542"/>
        <w:spacing w:after="0" w:line="276" w:lineRule="auto"/>
        <w:rPr>
          <w:sz w:val="20"/>
          <w:szCs w:val="20"/>
          <w:color w:val="auto"/>
        </w:rPr>
      </w:pPr>
      <w:r>
        <w:rPr>
          <w:rFonts w:ascii="Arial" w:cs="Arial" w:eastAsia="Arial" w:hAnsi="Arial"/>
          <w:sz w:val="15"/>
          <w:szCs w:val="15"/>
          <w:color w:val="auto"/>
        </w:rPr>
        <w:t>The Audit Committee originally adopted a written charter in June 2000. In April 2003, March 2004, March 2005 and March 2006, the Audit Committee approved a revised charter for the Audit Committee.</w:t>
      </w:r>
    </w:p>
    <w:p>
      <w:pPr>
        <w:spacing w:after="0" w:line="191"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Robert M. Aiken, Jr.</w:t>
      </w:r>
    </w:p>
    <w:p>
      <w:pPr>
        <w:spacing w:after="0" w:line="1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Michael E. Werner</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Steven T. Warshaw</w:t>
      </w:r>
    </w:p>
    <w:p>
      <w:pPr>
        <w:spacing w:after="0" w:line="200" w:lineRule="exact"/>
        <w:rPr>
          <w:sz w:val="20"/>
          <w:szCs w:val="20"/>
          <w:color w:val="auto"/>
        </w:rPr>
      </w:pPr>
    </w:p>
    <w:p>
      <w:pPr>
        <w:spacing w:after="0" w:line="247"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FEES PAID TO INDEPENDENT AUDITORS</w:t>
      </w:r>
    </w:p>
    <w:p>
      <w:pPr>
        <w:spacing w:after="0" w:line="238" w:lineRule="exact"/>
        <w:rPr>
          <w:sz w:val="20"/>
          <w:szCs w:val="20"/>
          <w:color w:val="auto"/>
        </w:rPr>
      </w:pPr>
    </w:p>
    <w:p>
      <w:pPr>
        <w:ind w:right="200" w:firstLine="542"/>
        <w:spacing w:after="0" w:line="257" w:lineRule="auto"/>
        <w:rPr>
          <w:sz w:val="20"/>
          <w:szCs w:val="20"/>
          <w:color w:val="auto"/>
        </w:rPr>
      </w:pPr>
      <w:r>
        <w:rPr>
          <w:rFonts w:ascii="Arial" w:cs="Arial" w:eastAsia="Arial" w:hAnsi="Arial"/>
          <w:sz w:val="15"/>
          <w:szCs w:val="15"/>
          <w:color w:val="auto"/>
        </w:rPr>
        <w:t>During 2005, PricewaterhouseCoopers LLP not only acted as the registered independent public accounting firm for the Company (work related to auditing the annual financial statements for fiscal year 2005 and reviewing the financial statements included in our Forms 10-Q) but also rendered on our behalf other services, including tax-related services, and other accounting and auditing services. The following table sets forth the aggregate fees billed by PricewaterhouseCoopers LLP for audit services rendered in connection with the financial statements and reports for fiscal years 2005 and 2004 and for other services rendered during fiscal years 2005 and 2004 on our behalf, as well as all expenses incurred in connection with these services, which have been or will be billed to us.</w:t>
      </w:r>
    </w:p>
    <w:p>
      <w:pPr>
        <w:sectPr>
          <w:pgSz w:w="11900" w:h="16838" w:orient="portrait"/>
          <w:cols w:equalWidth="0" w:num="1">
            <w:col w:w="11440"/>
          </w:cols>
          <w:pgMar w:left="240" w:top="129" w:right="2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Related Fees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Fees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 Fees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Total</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Pre-Approval Policies and Procedures.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04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b w:val="1"/>
                <w:bCs w:val="1"/>
                <w:color w:val="auto"/>
              </w:rPr>
              <w:t>2005</w:t>
            </w:r>
          </w:p>
        </w:tc>
        <w:tc>
          <w:tcPr>
            <w:tcW w:w="126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rPr>
              <w:t>2004</w:t>
            </w:r>
          </w:p>
        </w:tc>
        <w:tc>
          <w:tcPr>
            <w:tcW w:w="20" w:type="dxa"/>
            <w:vAlign w:val="bottom"/>
          </w:tcPr>
          <w:p>
            <w:pPr>
              <w:spacing w:after="0"/>
              <w:rPr>
                <w:sz w:val="17"/>
                <w:szCs w:val="17"/>
                <w:color w:val="auto"/>
              </w:rPr>
            </w:pPr>
          </w:p>
        </w:tc>
      </w:tr>
      <w:tr>
        <w:trPr>
          <w:trHeight w:val="188"/>
        </w:trPr>
        <w:tc>
          <w:tcPr>
            <w:tcW w:w="2040" w:type="dxa"/>
            <w:vAlign w:val="bottom"/>
          </w:tcPr>
          <w:p>
            <w:pPr>
              <w:jc w:val="right"/>
              <w:ind w:right="245"/>
              <w:spacing w:after="0"/>
              <w:rPr>
                <w:sz w:val="20"/>
                <w:szCs w:val="20"/>
                <w:color w:val="auto"/>
              </w:rPr>
            </w:pPr>
            <w:r>
              <w:rPr>
                <w:rFonts w:ascii="Arial" w:cs="Arial" w:eastAsia="Arial" w:hAnsi="Arial"/>
                <w:sz w:val="15"/>
                <w:szCs w:val="15"/>
                <w:color w:val="auto"/>
              </w:rPr>
              <w:t>$1,253,684</w:t>
            </w:r>
          </w:p>
        </w:tc>
        <w:tc>
          <w:tcPr>
            <w:tcW w:w="1260" w:type="dxa"/>
            <w:vAlign w:val="bottom"/>
          </w:tcPr>
          <w:p>
            <w:pPr>
              <w:jc w:val="right"/>
              <w:spacing w:after="0"/>
              <w:rPr>
                <w:sz w:val="20"/>
                <w:szCs w:val="20"/>
                <w:color w:val="auto"/>
              </w:rPr>
            </w:pPr>
            <w:r>
              <w:rPr>
                <w:rFonts w:ascii="Arial" w:cs="Arial" w:eastAsia="Arial" w:hAnsi="Arial"/>
                <w:sz w:val="15"/>
                <w:szCs w:val="15"/>
                <w:color w:val="auto"/>
              </w:rPr>
              <w:t>$1,574,033</w:t>
            </w:r>
          </w:p>
        </w:tc>
        <w:tc>
          <w:tcPr>
            <w:tcW w:w="20" w:type="dxa"/>
            <w:vAlign w:val="bottom"/>
          </w:tcPr>
          <w:p>
            <w:pPr>
              <w:spacing w:after="0"/>
              <w:rPr>
                <w:sz w:val="16"/>
                <w:szCs w:val="16"/>
                <w:color w:val="auto"/>
              </w:rPr>
            </w:pPr>
          </w:p>
        </w:tc>
      </w:tr>
      <w:tr>
        <w:trPr>
          <w:trHeight w:val="206"/>
        </w:trPr>
        <w:tc>
          <w:tcPr>
            <w:tcW w:w="2040" w:type="dxa"/>
            <w:vAlign w:val="bottom"/>
          </w:tcPr>
          <w:p>
            <w:pPr>
              <w:jc w:val="right"/>
              <w:ind w:right="245"/>
              <w:spacing w:after="0"/>
              <w:rPr>
                <w:sz w:val="20"/>
                <w:szCs w:val="20"/>
                <w:color w:val="auto"/>
              </w:rPr>
            </w:pPr>
            <w:r>
              <w:rPr>
                <w:rFonts w:ascii="Arial" w:cs="Arial" w:eastAsia="Arial" w:hAnsi="Arial"/>
                <w:sz w:val="15"/>
                <w:szCs w:val="15"/>
                <w:color w:val="auto"/>
              </w:rPr>
              <w:t>42,266</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38,750</w:t>
            </w:r>
          </w:p>
        </w:tc>
      </w:tr>
      <w:tr>
        <w:trPr>
          <w:trHeight w:val="181"/>
        </w:trPr>
        <w:tc>
          <w:tcPr>
            <w:tcW w:w="2040" w:type="dxa"/>
            <w:vAlign w:val="bottom"/>
          </w:tcPr>
          <w:p>
            <w:pPr>
              <w:jc w:val="right"/>
              <w:ind w:right="245"/>
              <w:spacing w:after="0"/>
              <w:rPr>
                <w:sz w:val="20"/>
                <w:szCs w:val="20"/>
                <w:color w:val="auto"/>
              </w:rPr>
            </w:pPr>
            <w:r>
              <w:rPr>
                <w:rFonts w:ascii="Arial" w:cs="Arial" w:eastAsia="Arial" w:hAnsi="Arial"/>
                <w:sz w:val="15"/>
                <w:szCs w:val="15"/>
                <w:color w:val="auto"/>
              </w:rPr>
              <w:t>220,307</w:t>
            </w:r>
          </w:p>
        </w:tc>
        <w:tc>
          <w:tcPr>
            <w:tcW w:w="1260" w:type="dxa"/>
            <w:vAlign w:val="bottom"/>
          </w:tcPr>
          <w:p>
            <w:pPr>
              <w:jc w:val="right"/>
              <w:spacing w:after="0"/>
              <w:rPr>
                <w:sz w:val="20"/>
                <w:szCs w:val="20"/>
                <w:color w:val="auto"/>
              </w:rPr>
            </w:pPr>
            <w:r>
              <w:rPr>
                <w:rFonts w:ascii="Arial" w:cs="Arial" w:eastAsia="Arial" w:hAnsi="Arial"/>
                <w:sz w:val="15"/>
                <w:szCs w:val="15"/>
                <w:color w:val="auto"/>
              </w:rPr>
              <w:t>389,012</w:t>
            </w:r>
          </w:p>
        </w:tc>
        <w:tc>
          <w:tcPr>
            <w:tcW w:w="20" w:type="dxa"/>
            <w:vAlign w:val="bottom"/>
          </w:tcPr>
          <w:p>
            <w:pPr>
              <w:spacing w:after="0"/>
              <w:rPr>
                <w:sz w:val="15"/>
                <w:szCs w:val="15"/>
                <w:color w:val="auto"/>
              </w:rPr>
            </w:pPr>
          </w:p>
        </w:tc>
      </w:tr>
      <w:tr>
        <w:trPr>
          <w:trHeight w:val="191"/>
        </w:trPr>
        <w:tc>
          <w:tcPr>
            <w:tcW w:w="204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18,656</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18,958</w:t>
            </w:r>
          </w:p>
        </w:tc>
      </w:tr>
      <w:tr>
        <w:trPr>
          <w:trHeight w:val="173"/>
        </w:trPr>
        <w:tc>
          <w:tcPr>
            <w:tcW w:w="204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$1,534,913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$2,020,753</w:t>
            </w:r>
          </w:p>
        </w:tc>
        <w:tc>
          <w:tcPr>
            <w:tcW w:w="20" w:type="dxa"/>
            <w:vAlign w:val="bottom"/>
            <w:tcBorders>
              <w:bottom w:val="single" w:sz="8" w:color="auto"/>
            </w:tcBorders>
          </w:tcPr>
          <w:p>
            <w:pPr>
              <w:spacing w:after="0"/>
              <w:rPr>
                <w:sz w:val="15"/>
                <w:szCs w:val="15"/>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60" w:lineRule="exact"/>
        <w:rPr>
          <w:sz w:val="20"/>
          <w:szCs w:val="20"/>
          <w:color w:val="auto"/>
        </w:rPr>
      </w:pPr>
    </w:p>
    <w:p>
      <w:pPr>
        <w:sectPr>
          <w:pgSz w:w="11900" w:h="16838" w:orient="portrait"/>
          <w:cols w:equalWidth="0" w:num="2">
            <w:col w:w="7420" w:space="720"/>
            <w:col w:w="3300"/>
          </w:cols>
          <w:pgMar w:left="240" w:top="129" w:right="219" w:bottom="1440" w:gutter="0" w:footer="0" w:header="0"/>
          <w:type w:val="continuous"/>
        </w:sectPr>
      </w:pPr>
    </w:p>
    <w:p>
      <w:pPr>
        <w:spacing w:after="0" w:line="61" w:lineRule="exact"/>
        <w:rPr>
          <w:sz w:val="20"/>
          <w:szCs w:val="20"/>
          <w:color w:val="auto"/>
        </w:rPr>
      </w:pPr>
    </w:p>
    <w:p>
      <w:pPr>
        <w:ind w:right="120" w:firstLine="580"/>
        <w:spacing w:after="0" w:line="284" w:lineRule="auto"/>
        <w:rPr>
          <w:sz w:val="20"/>
          <w:szCs w:val="20"/>
          <w:color w:val="auto"/>
        </w:rPr>
      </w:pPr>
      <w:r>
        <w:rPr>
          <w:rFonts w:ascii="Arial" w:cs="Arial" w:eastAsia="Arial" w:hAnsi="Arial"/>
          <w:sz w:val="14"/>
          <w:szCs w:val="14"/>
          <w:color w:val="auto"/>
        </w:rPr>
        <w:t>The Audit Committee pre-approves all audit and permissible non-audit services to be provided to the Company by its registered independent public accounting firm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183"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REPORT OF THE COMPENSATION COMMITTEE</w:t>
      </w:r>
    </w:p>
    <w:p>
      <w:pPr>
        <w:spacing w:after="0" w:line="238" w:lineRule="exact"/>
        <w:rPr>
          <w:sz w:val="20"/>
          <w:szCs w:val="20"/>
          <w:color w:val="auto"/>
        </w:rPr>
      </w:pPr>
    </w:p>
    <w:p>
      <w:pPr>
        <w:ind w:right="40" w:firstLine="542"/>
        <w:spacing w:after="0" w:line="355" w:lineRule="auto"/>
        <w:rPr>
          <w:sz w:val="20"/>
          <w:szCs w:val="20"/>
          <w:color w:val="auto"/>
        </w:rPr>
      </w:pPr>
      <w:r>
        <w:rPr>
          <w:rFonts w:ascii="Arial" w:cs="Arial" w:eastAsia="Arial" w:hAnsi="Arial"/>
          <w:sz w:val="13"/>
          <w:szCs w:val="13"/>
          <w:color w:val="auto"/>
        </w:rPr>
        <w:t>The Compensation Committee of the Board of Directors is responsible for the oversight of the Company's compensation policies. The membership of the Compensation Committee during 2005 consisted of G. Ronald Morris, Steven T. Warshaw and Richard G. Fanelli. The report of the Committee on executive officer compensation for 2005 is set forth below.</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Principles</w:t>
      </w:r>
    </w:p>
    <w:p>
      <w:pPr>
        <w:spacing w:after="0" w:line="238" w:lineRule="exact"/>
        <w:rPr>
          <w:sz w:val="20"/>
          <w:szCs w:val="20"/>
          <w:color w:val="auto"/>
        </w:rPr>
      </w:pPr>
    </w:p>
    <w:p>
      <w:pPr>
        <w:ind w:right="240" w:firstLine="542"/>
        <w:spacing w:after="0" w:line="276" w:lineRule="auto"/>
        <w:rPr>
          <w:sz w:val="20"/>
          <w:szCs w:val="20"/>
          <w:color w:val="auto"/>
        </w:rPr>
      </w:pPr>
      <w:r>
        <w:rPr>
          <w:rFonts w:ascii="Arial" w:cs="Arial" w:eastAsia="Arial" w:hAnsi="Arial"/>
          <w:sz w:val="15"/>
          <w:szCs w:val="15"/>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91" w:lineRule="exact"/>
        <w:rPr>
          <w:sz w:val="20"/>
          <w:szCs w:val="20"/>
          <w:color w:val="auto"/>
        </w:rPr>
      </w:pPr>
    </w:p>
    <w:p>
      <w:pPr>
        <w:ind w:left="1080" w:hanging="118"/>
        <w:spacing w:after="0"/>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attracting and retaining qualified and dedicated executives who are essential to the long-term success of the Company;</w:t>
      </w:r>
    </w:p>
    <w:p>
      <w:pPr>
        <w:spacing w:after="0" w:line="234" w:lineRule="exact"/>
        <w:rPr>
          <w:rFonts w:ascii="Arial" w:cs="Arial" w:eastAsia="Arial" w:hAnsi="Arial"/>
          <w:sz w:val="15"/>
          <w:szCs w:val="15"/>
          <w:color w:val="auto"/>
        </w:rPr>
      </w:pPr>
    </w:p>
    <w:p>
      <w:pPr>
        <w:ind w:left="1080" w:hanging="118"/>
        <w:spacing w:after="0"/>
        <w:tabs>
          <w:tab w:leader="none" w:pos="10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providing compensation packages that are competitive with the compensation arrangements offered by comparable companies, including the Company's competitors;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13" w:name="page14"/>
    <w:bookmarkEnd w:id="13"/>
    <w:p>
      <w:pPr>
        <w:ind w:left="1080" w:hanging="118"/>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tying a significant portion of an executive officer's compensation to the Company's and the individual's performance; and</w:t>
      </w:r>
    </w:p>
    <w:p>
      <w:pPr>
        <w:spacing w:after="0" w:line="234" w:lineRule="exact"/>
        <w:rPr>
          <w:rFonts w:ascii="Arial" w:cs="Arial" w:eastAsia="Arial" w:hAnsi="Arial"/>
          <w:sz w:val="15"/>
          <w:szCs w:val="15"/>
          <w:color w:val="auto"/>
        </w:rPr>
      </w:pPr>
    </w:p>
    <w:p>
      <w:pPr>
        <w:ind w:left="1080" w:hanging="118"/>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directly aligning the interests of management with the interests of the shareholders through stock-based compensation arrangements.</w:t>
      </w:r>
    </w:p>
    <w:p>
      <w:pPr>
        <w:spacing w:after="0" w:line="234" w:lineRule="exact"/>
        <w:rPr>
          <w:sz w:val="20"/>
          <w:szCs w:val="20"/>
          <w:color w:val="auto"/>
        </w:rPr>
      </w:pPr>
    </w:p>
    <w:p>
      <w:pPr>
        <w:ind w:right="360" w:firstLine="542"/>
        <w:spacing w:after="0" w:line="276" w:lineRule="auto"/>
        <w:rPr>
          <w:sz w:val="20"/>
          <w:szCs w:val="20"/>
          <w:color w:val="auto"/>
        </w:rPr>
      </w:pPr>
      <w:r>
        <w:rPr>
          <w:rFonts w:ascii="Arial" w:cs="Arial" w:eastAsia="Arial" w:hAnsi="Arial"/>
          <w:sz w:val="15"/>
          <w:szCs w:val="15"/>
          <w:color w:val="auto"/>
        </w:rPr>
        <w:t>In 2005, the components of the Company's executive compensation arrangements consisted of salary, cash bonus, stock option award opportunities and restricted share awards pursuant to the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 Compensation</w:t>
      </w:r>
    </w:p>
    <w:p>
      <w:pPr>
        <w:spacing w:after="0" w:line="238" w:lineRule="exact"/>
        <w:rPr>
          <w:sz w:val="20"/>
          <w:szCs w:val="20"/>
          <w:color w:val="auto"/>
        </w:rPr>
      </w:pPr>
    </w:p>
    <w:p>
      <w:pPr>
        <w:ind w:right="200" w:firstLine="542"/>
        <w:spacing w:after="0" w:line="284" w:lineRule="auto"/>
        <w:rPr>
          <w:sz w:val="20"/>
          <w:szCs w:val="20"/>
          <w:color w:val="auto"/>
        </w:rPr>
      </w:pPr>
      <w:r>
        <w:rPr>
          <w:rFonts w:ascii="Arial" w:cs="Arial" w:eastAsia="Arial" w:hAnsi="Arial"/>
          <w:sz w:val="14"/>
          <w:szCs w:val="14"/>
          <w:color w:val="auto"/>
        </w:rPr>
        <w:t>As a general matter, the Company believes the interests of the Company and its shareholders are best served by developing and maintaining compensation policies that are consistent and competitive with peer group industrial companies. The Company, therefore, periodically conducts peer group benchmarking of public industrial companies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annual incentive/bonus, benefits, and stock incentive awards.</w:t>
      </w:r>
    </w:p>
    <w:p>
      <w:pPr>
        <w:spacing w:after="0" w:line="187" w:lineRule="exact"/>
        <w:rPr>
          <w:sz w:val="20"/>
          <w:szCs w:val="20"/>
          <w:color w:val="auto"/>
        </w:rPr>
      </w:pPr>
    </w:p>
    <w:p>
      <w:pPr>
        <w:ind w:firstLine="542"/>
        <w:spacing w:after="0" w:line="263" w:lineRule="auto"/>
        <w:rPr>
          <w:sz w:val="20"/>
          <w:szCs w:val="20"/>
          <w:color w:val="auto"/>
        </w:rPr>
      </w:pPr>
      <w:r>
        <w:rPr>
          <w:rFonts w:ascii="Arial" w:cs="Arial" w:eastAsia="Arial" w:hAnsi="Arial"/>
          <w:sz w:val="15"/>
          <w:szCs w:val="15"/>
          <w:color w:val="auto"/>
        </w:rPr>
        <w:t>The current executive compensation structure includes a formal salary grade structure that establishes five levels of executive compensation within the Company. Base salary ranges (low, mid and high) are established for each salary grade. In addition, a formal annual incentive bonus plan includes threshold, target, and maximum awards based upon pre-established financial performance criteria.</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Salary</w:t>
      </w:r>
    </w:p>
    <w:p>
      <w:pPr>
        <w:spacing w:after="0" w:line="238" w:lineRule="exact"/>
        <w:rPr>
          <w:sz w:val="20"/>
          <w:szCs w:val="20"/>
          <w:color w:val="auto"/>
        </w:rPr>
      </w:pPr>
    </w:p>
    <w:p>
      <w:pPr>
        <w:ind w:right="260" w:firstLine="542"/>
        <w:spacing w:after="0" w:line="276" w:lineRule="auto"/>
        <w:rPr>
          <w:sz w:val="20"/>
          <w:szCs w:val="20"/>
          <w:color w:val="auto"/>
        </w:rPr>
      </w:pPr>
      <w:r>
        <w:rPr>
          <w:rFonts w:ascii="Arial" w:cs="Arial" w:eastAsia="Arial" w:hAnsi="Arial"/>
          <w:sz w:val="15"/>
          <w:szCs w:val="15"/>
          <w:color w:val="auto"/>
        </w:rPr>
        <w:t>The salary levels for the Company’s executive officers and managers are reviewed and determined annually. Adjustments to executive officer compensation are evaluated based upon the individual’s and Company’s performance within the framework of the Company’s formal compensation policies.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Bonus</w:t>
      </w:r>
    </w:p>
    <w:p>
      <w:pPr>
        <w:spacing w:after="0" w:line="238" w:lineRule="exact"/>
        <w:rPr>
          <w:sz w:val="20"/>
          <w:szCs w:val="20"/>
          <w:color w:val="auto"/>
        </w:rPr>
      </w:pPr>
    </w:p>
    <w:p>
      <w:pPr>
        <w:ind w:right="280" w:firstLine="542"/>
        <w:spacing w:after="0" w:line="355" w:lineRule="auto"/>
        <w:rPr>
          <w:sz w:val="20"/>
          <w:szCs w:val="20"/>
          <w:color w:val="auto"/>
        </w:rPr>
      </w:pPr>
      <w:r>
        <w:rPr>
          <w:rFonts w:ascii="Arial" w:cs="Arial" w:eastAsia="Arial" w:hAnsi="Arial"/>
          <w:sz w:val="13"/>
          <w:szCs w:val="13"/>
          <w:color w:val="auto"/>
        </w:rPr>
        <w:t>Annual bonuses are based solely on a formalized plan. Bonus payments are contingent upon achieving pre-established net income goals for each operating business unit and the total company and additionally, in 2006, achieving certain strategic goals. The bonuses paid to Named Executive Officers for 2005 are set forth in the Summary Compensation Table.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Incentive Plan</w:t>
      </w:r>
    </w:p>
    <w:p>
      <w:pPr>
        <w:spacing w:after="0" w:line="238" w:lineRule="exact"/>
        <w:rPr>
          <w:sz w:val="20"/>
          <w:szCs w:val="20"/>
          <w:color w:val="auto"/>
        </w:rPr>
      </w:pPr>
    </w:p>
    <w:p>
      <w:pPr>
        <w:ind w:right="40" w:firstLine="542"/>
        <w:spacing w:after="0" w:line="284" w:lineRule="auto"/>
        <w:rPr>
          <w:sz w:val="20"/>
          <w:szCs w:val="20"/>
          <w:color w:val="auto"/>
        </w:rPr>
      </w:pPr>
      <w:r>
        <w:rPr>
          <w:rFonts w:ascii="Arial" w:cs="Arial" w:eastAsia="Arial" w:hAnsi="Arial"/>
          <w:sz w:val="14"/>
          <w:szCs w:val="14"/>
          <w:color w:val="auto"/>
        </w:rPr>
        <w:t>The Incentive Plan which was adopted by the Board of Directors on April 8, 2005 and approved by the shareholders on May 18, 2005 reserves 1.0 million shares of Common Stock for the issuance of options and stock appreciation rights and 300,000 shares of restricted stock, restricted stock units, performance shares and stock awards for to Directors, Executive Officers and other key employees. This Incentive Plan is intended to replace the NN, Inc. Stock Incentive Plan which was adopted on March 2, 1994 and expired on March 2, 2004. Stock options granted under the former plan prior to its expiration are exercisable upon vesting for a period of ten years after the date of grant.</w:t>
      </w:r>
    </w:p>
    <w:p>
      <w:pPr>
        <w:spacing w:after="0" w:line="187" w:lineRule="exact"/>
        <w:rPr>
          <w:sz w:val="20"/>
          <w:szCs w:val="20"/>
          <w:color w:val="auto"/>
        </w:rPr>
      </w:pPr>
    </w:p>
    <w:p>
      <w:pPr>
        <w:ind w:right="40" w:firstLine="542"/>
        <w:spacing w:after="0" w:line="284" w:lineRule="auto"/>
        <w:rPr>
          <w:sz w:val="20"/>
          <w:szCs w:val="20"/>
          <w:color w:val="auto"/>
        </w:rPr>
      </w:pPr>
      <w:r>
        <w:rPr>
          <w:rFonts w:ascii="Arial" w:cs="Arial" w:eastAsia="Arial" w:hAnsi="Arial"/>
          <w:sz w:val="14"/>
          <w:szCs w:val="14"/>
          <w:color w:val="auto"/>
        </w:rPr>
        <w:t>Stock options and restricted share grants to the Company’s executive officers and managers are generally reviewed and determined annually by the Compensation Committee. With respect to options and restricted shares awarded, the Committee utilizes a structure based upon the following: recommendations from the independent compensation review, Mr. Baty’s recommendations (other than for himself), and rewards to officers and other key employees for superior performance and to provide financial incentives for officers and employees to continue to perform in a superior manner. The Company awarded 119,000 options and 43,000 shares of restricted stock to seven executive officers during 2005.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Compensation of the Chief Executive Officer</w:t>
      </w:r>
    </w:p>
    <w:p>
      <w:pPr>
        <w:spacing w:after="0" w:line="238" w:lineRule="exact"/>
        <w:rPr>
          <w:sz w:val="20"/>
          <w:szCs w:val="20"/>
          <w:color w:val="auto"/>
        </w:rPr>
      </w:pPr>
    </w:p>
    <w:p>
      <w:pPr>
        <w:ind w:right="80" w:firstLine="542"/>
        <w:spacing w:after="0" w:line="263" w:lineRule="auto"/>
        <w:rPr>
          <w:sz w:val="20"/>
          <w:szCs w:val="20"/>
          <w:color w:val="auto"/>
        </w:rPr>
      </w:pPr>
      <w:r>
        <w:rPr>
          <w:rFonts w:ascii="Arial" w:cs="Arial" w:eastAsia="Arial" w:hAnsi="Arial"/>
          <w:sz w:val="15"/>
          <w:szCs w:val="15"/>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on the basis of the following factors: 1) the Company’s overall performance, 2) Mr. Baty’s individual performance and 3) the competitiveness of Mr. Baty’s salary in comparison to similar industrial companies.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with Internal Revenue Code Section 162(m)</w:t>
      </w:r>
    </w:p>
    <w:p>
      <w:pPr>
        <w:spacing w:after="0" w:line="238" w:lineRule="exact"/>
        <w:rPr>
          <w:sz w:val="20"/>
          <w:szCs w:val="20"/>
          <w:color w:val="auto"/>
        </w:rPr>
      </w:pPr>
    </w:p>
    <w:p>
      <w:pPr>
        <w:ind w:right="80" w:firstLine="542"/>
        <w:spacing w:after="0" w:line="259" w:lineRule="auto"/>
        <w:rPr>
          <w:sz w:val="20"/>
          <w:szCs w:val="20"/>
          <w:color w:val="auto"/>
        </w:rPr>
      </w:pPr>
      <w:r>
        <w:rPr>
          <w:rFonts w:ascii="Arial" w:cs="Arial" w:eastAsia="Arial" w:hAnsi="Arial"/>
          <w:sz w:val="15"/>
          <w:szCs w:val="15"/>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2005 exceeded the limit imposed by Section 162(m).</w:t>
      </w:r>
    </w:p>
    <w:p>
      <w:pPr>
        <w:spacing w:after="0" w:line="200" w:lineRule="exact"/>
        <w:rPr>
          <w:sz w:val="20"/>
          <w:szCs w:val="20"/>
          <w:color w:val="auto"/>
        </w:rPr>
      </w:pPr>
    </w:p>
    <w:p>
      <w:pPr>
        <w:spacing w:after="0" w:line="23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G. Ronald Morris</w:t>
      </w:r>
    </w:p>
    <w:p>
      <w:pPr>
        <w:spacing w:after="0" w:line="18"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Steven T. Warshaw</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Richard G. Fanelli</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Compensation Committee Interlock and Insider Participation</w:t>
      </w:r>
    </w:p>
    <w:p>
      <w:pPr>
        <w:spacing w:after="0" w:line="238" w:lineRule="exact"/>
        <w:rPr>
          <w:sz w:val="20"/>
          <w:szCs w:val="20"/>
          <w:color w:val="auto"/>
        </w:rPr>
      </w:pPr>
    </w:p>
    <w:p>
      <w:pPr>
        <w:ind w:firstLine="542"/>
        <w:spacing w:after="0" w:line="313" w:lineRule="auto"/>
        <w:rPr>
          <w:sz w:val="20"/>
          <w:szCs w:val="20"/>
          <w:color w:val="auto"/>
        </w:rPr>
      </w:pPr>
      <w:r>
        <w:rPr>
          <w:rFonts w:ascii="Arial" w:cs="Arial" w:eastAsia="Arial" w:hAnsi="Arial"/>
          <w:sz w:val="14"/>
          <w:szCs w:val="14"/>
          <w:color w:val="auto"/>
        </w:rPr>
        <w:t>All compensation decisions during the fiscal year ended December 31, 2005 for each of the Named Executive Officers were made by the Compensation Committee of the Board of Directors, consisting of Messrs Morris, Warshaw and Fanelli, none of whom is or was an officer or employee of the Company during the last fiscal year.</w:t>
      </w:r>
    </w:p>
    <w:p>
      <w:pPr>
        <w:spacing w:after="0" w:line="164"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Certain Relationships and Related Transactions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There were no transactions in 2005 requiring disclosure pursuant to Item 404 of Regulation S-K.</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5" w:name="page16"/>
    <w:bookmarkEnd w:id="15"/>
    <w:p>
      <w:pPr>
        <w:ind w:left="5110"/>
        <w:spacing w:after="0"/>
        <w:rPr>
          <w:sz w:val="20"/>
          <w:szCs w:val="20"/>
          <w:color w:val="auto"/>
        </w:rPr>
      </w:pPr>
      <w:r>
        <w:rPr>
          <w:rFonts w:ascii="Arial" w:cs="Arial" w:eastAsia="Arial" w:hAnsi="Arial"/>
          <w:sz w:val="15"/>
          <w:szCs w:val="15"/>
          <w:b w:val="1"/>
          <w:bCs w:val="1"/>
          <w:color w:val="auto"/>
        </w:rPr>
        <w:t>PERFORMANCE GRAPH</w:t>
      </w:r>
    </w:p>
    <w:p>
      <w:pPr>
        <w:spacing w:after="0" w:line="238" w:lineRule="exact"/>
        <w:rPr>
          <w:sz w:val="20"/>
          <w:szCs w:val="20"/>
          <w:color w:val="auto"/>
        </w:rPr>
      </w:pPr>
    </w:p>
    <w:p>
      <w:pPr>
        <w:ind w:left="10" w:right="20" w:firstLine="542"/>
        <w:spacing w:after="0" w:line="297" w:lineRule="auto"/>
        <w:rPr>
          <w:sz w:val="20"/>
          <w:szCs w:val="20"/>
          <w:color w:val="auto"/>
        </w:rPr>
      </w:pPr>
      <w:r>
        <w:rPr>
          <w:rFonts w:ascii="Arial" w:cs="Arial" w:eastAsia="Arial" w:hAnsi="Arial"/>
          <w:sz w:val="13"/>
          <w:szCs w:val="13"/>
          <w:color w:val="auto"/>
        </w:rPr>
        <w:t>The following graph compares the cumulative total shareholder return on the Company's Common Stock (consisting of stock price performance and reinvested dividends) from December 31, 2000 with the cumulative total return (assuming reinvestment of all dividends) of (i) the Value Line Machinery Industry Stock Index ("Machinery Index") and (ii) the Standard</w:t>
      </w:r>
    </w:p>
    <w:p>
      <w:pPr>
        <w:spacing w:after="0" w:line="1" w:lineRule="exact"/>
        <w:rPr>
          <w:sz w:val="20"/>
          <w:szCs w:val="20"/>
          <w:color w:val="auto"/>
        </w:rPr>
      </w:pPr>
    </w:p>
    <w:p>
      <w:pPr>
        <w:jc w:val="both"/>
        <w:ind w:left="10" w:right="140" w:hanging="10"/>
        <w:spacing w:after="0" w:line="315" w:lineRule="auto"/>
        <w:tabs>
          <w:tab w:leader="none" w:pos="164" w:val="left"/>
        </w:tabs>
        <w:numPr>
          <w:ilvl w:val="0"/>
          <w:numId w:val="9"/>
        </w:numPr>
        <w:rPr>
          <w:rFonts w:ascii="Arial" w:cs="Arial" w:eastAsia="Arial" w:hAnsi="Arial"/>
          <w:sz w:val="13"/>
          <w:szCs w:val="13"/>
          <w:color w:val="auto"/>
        </w:rPr>
      </w:pPr>
      <w:r>
        <w:rPr>
          <w:rFonts w:ascii="Arial" w:cs="Arial" w:eastAsia="Arial" w:hAnsi="Arial"/>
          <w:sz w:val="13"/>
          <w:szCs w:val="13"/>
          <w:color w:val="auto"/>
        </w:rPr>
        <w:t>Poor's 500 Stock Index, for the period December 31, 2000 through December 31, 2005. The Machinery Index is an industry index comprised of 49 companies engaged in manufacturing of machinery and machine parts, a list of which is available from the Company. The comparison assumes $100 was invested in the Company's Common Stock and in each of the foregoing indices on December 31, 2000. There can be no assurances that the performance of the Common Stock will continue in the future with the same or similar trend depicted on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740400" cy="4305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0400"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 w:right="4820"/>
        <w:spacing w:after="0" w:line="267" w:lineRule="auto"/>
        <w:rPr>
          <w:sz w:val="20"/>
          <w:szCs w:val="20"/>
          <w:color w:val="auto"/>
        </w:rPr>
      </w:pPr>
      <w:r>
        <w:rPr>
          <w:rFonts w:ascii="Arial" w:cs="Arial" w:eastAsia="Arial" w:hAnsi="Arial"/>
          <w:sz w:val="15"/>
          <w:szCs w:val="15"/>
          <w:color w:val="auto"/>
        </w:rPr>
        <w:t>Assumes $100 invested at the close of trading on 12/31/00 in NN, Inc. Common Stock, Standard &amp; Poors 500 and Machinery Index.</w:t>
      </w:r>
    </w:p>
    <w:p>
      <w:pPr>
        <w:ind w:left="10"/>
        <w:spacing w:after="0"/>
        <w:rPr>
          <w:sz w:val="20"/>
          <w:szCs w:val="20"/>
          <w:color w:val="auto"/>
        </w:rPr>
      </w:pPr>
      <w:r>
        <w:rPr>
          <w:rFonts w:ascii="Arial" w:cs="Arial" w:eastAsia="Arial" w:hAnsi="Arial"/>
          <w:sz w:val="15"/>
          <w:szCs w:val="15"/>
          <w:color w:val="auto"/>
        </w:rPr>
        <w:t>*Cumulative total return assumes reinvestment of dividends.</w:t>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20" w:type="dxa"/>
            <w:vAlign w:val="bottom"/>
            <w:gridSpan w:val="2"/>
          </w:tcPr>
          <w:p>
            <w:pPr>
              <w:jc w:val="right"/>
              <w:ind w:right="425"/>
              <w:spacing w:after="0"/>
              <w:rPr>
                <w:sz w:val="20"/>
                <w:szCs w:val="20"/>
                <w:color w:val="auto"/>
              </w:rPr>
            </w:pPr>
            <w:r>
              <w:rPr>
                <w:rFonts w:ascii="Arial" w:cs="Arial" w:eastAsia="Arial" w:hAnsi="Arial"/>
                <w:sz w:val="15"/>
                <w:szCs w:val="15"/>
                <w:b w:val="1"/>
                <w:bCs w:val="1"/>
                <w:color w:val="auto"/>
                <w:w w:val="94"/>
              </w:rPr>
              <w:t>Cumulative Total Shareholder Return</w:t>
            </w: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1300" w:type="dxa"/>
            <w:vAlign w:val="bottom"/>
          </w:tcPr>
          <w:p>
            <w:pPr>
              <w:jc w:val="center"/>
              <w:ind w:left="345"/>
              <w:spacing w:after="0"/>
              <w:rPr>
                <w:sz w:val="20"/>
                <w:szCs w:val="20"/>
                <w:color w:val="auto"/>
              </w:rPr>
            </w:pPr>
            <w:r>
              <w:rPr>
                <w:rFonts w:ascii="Arial" w:cs="Arial" w:eastAsia="Arial" w:hAnsi="Arial"/>
                <w:sz w:val="15"/>
                <w:szCs w:val="15"/>
                <w:b w:val="1"/>
                <w:bCs w:val="1"/>
                <w:color w:val="auto"/>
                <w:w w:val="90"/>
              </w:rPr>
              <w:t>December 31,</w:t>
            </w:r>
          </w:p>
        </w:tc>
        <w:tc>
          <w:tcPr>
            <w:tcW w:w="560" w:type="dxa"/>
            <w:vAlign w:val="bottom"/>
          </w:tcPr>
          <w:p>
            <w:pPr>
              <w:spacing w:after="0"/>
              <w:rPr>
                <w:sz w:val="16"/>
                <w:szCs w:val="16"/>
                <w:color w:val="auto"/>
              </w:rPr>
            </w:pPr>
          </w:p>
        </w:tc>
        <w:tc>
          <w:tcPr>
            <w:tcW w:w="1320" w:type="dxa"/>
            <w:vAlign w:val="bottom"/>
          </w:tcPr>
          <w:p>
            <w:pPr>
              <w:jc w:val="right"/>
              <w:ind w:right="225"/>
              <w:spacing w:after="0"/>
              <w:rPr>
                <w:sz w:val="20"/>
                <w:szCs w:val="20"/>
                <w:color w:val="auto"/>
              </w:rPr>
            </w:pPr>
            <w:r>
              <w:rPr>
                <w:rFonts w:ascii="Arial" w:cs="Arial" w:eastAsia="Arial" w:hAnsi="Arial"/>
                <w:sz w:val="15"/>
                <w:szCs w:val="15"/>
                <w:b w:val="1"/>
                <w:bCs w:val="1"/>
                <w:color w:val="auto"/>
              </w:rPr>
              <w:t>December 31,</w:t>
            </w:r>
          </w:p>
        </w:tc>
        <w:tc>
          <w:tcPr>
            <w:tcW w:w="1580" w:type="dxa"/>
            <w:vAlign w:val="bottom"/>
          </w:tcPr>
          <w:p>
            <w:pPr>
              <w:jc w:val="right"/>
              <w:ind w:right="347"/>
              <w:spacing w:after="0"/>
              <w:rPr>
                <w:sz w:val="20"/>
                <w:szCs w:val="20"/>
                <w:color w:val="auto"/>
              </w:rPr>
            </w:pPr>
            <w:r>
              <w:rPr>
                <w:rFonts w:ascii="Arial" w:cs="Arial" w:eastAsia="Arial" w:hAnsi="Arial"/>
                <w:sz w:val="15"/>
                <w:szCs w:val="15"/>
                <w:b w:val="1"/>
                <w:bCs w:val="1"/>
                <w:color w:val="auto"/>
              </w:rPr>
              <w:t>December 31,</w:t>
            </w:r>
          </w:p>
        </w:tc>
        <w:tc>
          <w:tcPr>
            <w:tcW w:w="1440" w:type="dxa"/>
            <w:vAlign w:val="bottom"/>
          </w:tcPr>
          <w:p>
            <w:pPr>
              <w:jc w:val="right"/>
              <w:ind w:right="345"/>
              <w:spacing w:after="0"/>
              <w:rPr>
                <w:sz w:val="20"/>
                <w:szCs w:val="20"/>
                <w:color w:val="auto"/>
              </w:rPr>
            </w:pPr>
            <w:r>
              <w:rPr>
                <w:rFonts w:ascii="Arial" w:cs="Arial" w:eastAsia="Arial" w:hAnsi="Arial"/>
                <w:sz w:val="15"/>
                <w:szCs w:val="15"/>
                <w:b w:val="1"/>
                <w:bCs w:val="1"/>
                <w:color w:val="auto"/>
              </w:rPr>
              <w:t>December 31,</w:t>
            </w:r>
          </w:p>
        </w:tc>
        <w:tc>
          <w:tcPr>
            <w:tcW w:w="1460" w:type="dxa"/>
            <w:vAlign w:val="bottom"/>
          </w:tcPr>
          <w:p>
            <w:pPr>
              <w:jc w:val="right"/>
              <w:ind w:right="345"/>
              <w:spacing w:after="0"/>
              <w:rPr>
                <w:sz w:val="20"/>
                <w:szCs w:val="20"/>
                <w:color w:val="auto"/>
              </w:rPr>
            </w:pPr>
            <w:r>
              <w:rPr>
                <w:rFonts w:ascii="Arial" w:cs="Arial" w:eastAsia="Arial" w:hAnsi="Arial"/>
                <w:sz w:val="15"/>
                <w:szCs w:val="15"/>
                <w:b w:val="1"/>
                <w:bCs w:val="1"/>
                <w:color w:val="auto"/>
              </w:rPr>
              <w:t>December 31,</w:t>
            </w: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w:t>
            </w:r>
          </w:p>
        </w:tc>
      </w:tr>
      <w:tr>
        <w:trPr>
          <w:trHeight w:val="195"/>
        </w:trPr>
        <w:tc>
          <w:tcPr>
            <w:tcW w:w="3760" w:type="dxa"/>
            <w:vAlign w:val="bottom"/>
            <w:gridSpan w:val="2"/>
          </w:tcPr>
          <w:p>
            <w:pPr>
              <w:jc w:val="right"/>
              <w:ind w:right="225"/>
              <w:spacing w:after="0"/>
              <w:rPr>
                <w:sz w:val="20"/>
                <w:szCs w:val="20"/>
                <w:color w:val="auto"/>
              </w:rPr>
            </w:pPr>
            <w:r>
              <w:rPr>
                <w:rFonts w:ascii="Arial" w:cs="Arial" w:eastAsia="Arial" w:hAnsi="Arial"/>
                <w:sz w:val="15"/>
                <w:szCs w:val="15"/>
                <w:b w:val="1"/>
                <w:bCs w:val="1"/>
                <w:color w:val="auto"/>
              </w:rPr>
              <w:t>2000</w:t>
            </w:r>
          </w:p>
        </w:tc>
        <w:tc>
          <w:tcPr>
            <w:tcW w:w="560" w:type="dxa"/>
            <w:vAlign w:val="bottom"/>
          </w:tcPr>
          <w:p>
            <w:pPr>
              <w:spacing w:after="0"/>
              <w:rPr>
                <w:sz w:val="16"/>
                <w:szCs w:val="16"/>
                <w:color w:val="auto"/>
              </w:rPr>
            </w:pPr>
          </w:p>
        </w:tc>
        <w:tc>
          <w:tcPr>
            <w:tcW w:w="1320" w:type="dxa"/>
            <w:vAlign w:val="bottom"/>
          </w:tcPr>
          <w:p>
            <w:pPr>
              <w:jc w:val="right"/>
              <w:ind w:right="505"/>
              <w:spacing w:after="0"/>
              <w:rPr>
                <w:sz w:val="20"/>
                <w:szCs w:val="20"/>
                <w:color w:val="auto"/>
              </w:rPr>
            </w:pPr>
            <w:r>
              <w:rPr>
                <w:rFonts w:ascii="Arial" w:cs="Arial" w:eastAsia="Arial" w:hAnsi="Arial"/>
                <w:sz w:val="15"/>
                <w:szCs w:val="15"/>
                <w:b w:val="1"/>
                <w:bCs w:val="1"/>
                <w:color w:val="auto"/>
              </w:rPr>
              <w:t>2001</w:t>
            </w:r>
          </w:p>
        </w:tc>
        <w:tc>
          <w:tcPr>
            <w:tcW w:w="1580" w:type="dxa"/>
            <w:vAlign w:val="bottom"/>
          </w:tcPr>
          <w:p>
            <w:pPr>
              <w:jc w:val="right"/>
              <w:ind w:right="647"/>
              <w:spacing w:after="0"/>
              <w:rPr>
                <w:sz w:val="20"/>
                <w:szCs w:val="20"/>
                <w:color w:val="auto"/>
              </w:rPr>
            </w:pPr>
            <w:r>
              <w:rPr>
                <w:rFonts w:ascii="Arial" w:cs="Arial" w:eastAsia="Arial" w:hAnsi="Arial"/>
                <w:sz w:val="15"/>
                <w:szCs w:val="15"/>
                <w:b w:val="1"/>
                <w:bCs w:val="1"/>
                <w:color w:val="auto"/>
              </w:rPr>
              <w:t>2002</w:t>
            </w:r>
          </w:p>
        </w:tc>
        <w:tc>
          <w:tcPr>
            <w:tcW w:w="1440" w:type="dxa"/>
            <w:vAlign w:val="bottom"/>
          </w:tcPr>
          <w:p>
            <w:pPr>
              <w:jc w:val="right"/>
              <w:ind w:right="645"/>
              <w:spacing w:after="0"/>
              <w:rPr>
                <w:sz w:val="20"/>
                <w:szCs w:val="20"/>
                <w:color w:val="auto"/>
              </w:rPr>
            </w:pPr>
            <w:r>
              <w:rPr>
                <w:rFonts w:ascii="Arial" w:cs="Arial" w:eastAsia="Arial" w:hAnsi="Arial"/>
                <w:sz w:val="15"/>
                <w:szCs w:val="15"/>
                <w:b w:val="1"/>
                <w:bCs w:val="1"/>
                <w:color w:val="auto"/>
              </w:rPr>
              <w:t>2003</w:t>
            </w:r>
          </w:p>
        </w:tc>
        <w:tc>
          <w:tcPr>
            <w:tcW w:w="1460" w:type="dxa"/>
            <w:vAlign w:val="bottom"/>
          </w:tcPr>
          <w:p>
            <w:pPr>
              <w:jc w:val="right"/>
              <w:ind w:right="645"/>
              <w:spacing w:after="0"/>
              <w:rPr>
                <w:sz w:val="20"/>
                <w:szCs w:val="20"/>
                <w:color w:val="auto"/>
              </w:rPr>
            </w:pPr>
            <w:r>
              <w:rPr>
                <w:rFonts w:ascii="Arial" w:cs="Arial" w:eastAsia="Arial" w:hAnsi="Arial"/>
                <w:sz w:val="15"/>
                <w:szCs w:val="15"/>
                <w:b w:val="1"/>
                <w:bCs w:val="1"/>
                <w:color w:val="auto"/>
              </w:rPr>
              <w:t>2004</w:t>
            </w:r>
          </w:p>
        </w:tc>
        <w:tc>
          <w:tcPr>
            <w:tcW w:w="1320" w:type="dxa"/>
            <w:vAlign w:val="bottom"/>
          </w:tcPr>
          <w:p>
            <w:pPr>
              <w:jc w:val="right"/>
              <w:ind w:right="505"/>
              <w:spacing w:after="0"/>
              <w:rPr>
                <w:sz w:val="20"/>
                <w:szCs w:val="20"/>
                <w:color w:val="auto"/>
              </w:rPr>
            </w:pPr>
            <w:r>
              <w:rPr>
                <w:rFonts w:ascii="Arial" w:cs="Arial" w:eastAsia="Arial" w:hAnsi="Arial"/>
                <w:sz w:val="15"/>
                <w:szCs w:val="15"/>
                <w:b w:val="1"/>
                <w:bCs w:val="1"/>
                <w:color w:val="auto"/>
              </w:rPr>
              <w:t>2005</w:t>
            </w:r>
          </w:p>
        </w:tc>
        <w:tc>
          <w:tcPr>
            <w:tcW w:w="20" w:type="dxa"/>
            <w:vAlign w:val="bottom"/>
          </w:tcPr>
          <w:p>
            <w:pPr>
              <w:spacing w:after="0"/>
              <w:rPr>
                <w:sz w:val="16"/>
                <w:szCs w:val="16"/>
                <w:color w:val="auto"/>
              </w:rPr>
            </w:pPr>
          </w:p>
        </w:tc>
      </w:tr>
      <w:tr>
        <w:trPr>
          <w:trHeight w:val="162"/>
        </w:trPr>
        <w:tc>
          <w:tcPr>
            <w:tcW w:w="2460" w:type="dxa"/>
            <w:vAlign w:val="bottom"/>
          </w:tcPr>
          <w:p>
            <w:pPr>
              <w:spacing w:after="0" w:line="162" w:lineRule="exact"/>
              <w:rPr>
                <w:sz w:val="20"/>
                <w:szCs w:val="20"/>
                <w:color w:val="auto"/>
              </w:rPr>
            </w:pPr>
            <w:r>
              <w:rPr>
                <w:rFonts w:ascii="Arial" w:cs="Arial" w:eastAsia="Arial" w:hAnsi="Arial"/>
                <w:sz w:val="15"/>
                <w:szCs w:val="15"/>
                <w:color w:val="auto"/>
              </w:rPr>
              <w:t>NN, Inc.</w:t>
            </w:r>
          </w:p>
        </w:tc>
        <w:tc>
          <w:tcPr>
            <w:tcW w:w="13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65"/>
              <w:spacing w:after="0" w:line="162" w:lineRule="exact"/>
              <w:rPr>
                <w:sz w:val="20"/>
                <w:szCs w:val="20"/>
                <w:color w:val="auto"/>
              </w:rPr>
            </w:pPr>
            <w:r>
              <w:rPr>
                <w:rFonts w:ascii="Arial" w:cs="Arial" w:eastAsia="Arial" w:hAnsi="Arial"/>
                <w:sz w:val="15"/>
                <w:szCs w:val="15"/>
                <w:color w:val="auto"/>
                <w:w w:val="87"/>
              </w:rPr>
              <w:t>100.00</w:t>
            </w:r>
          </w:p>
        </w:tc>
        <w:tc>
          <w:tcPr>
            <w:tcW w:w="13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124.89</w:t>
            </w:r>
          </w:p>
        </w:tc>
        <w:tc>
          <w:tcPr>
            <w:tcW w:w="1580" w:type="dxa"/>
            <w:vAlign w:val="bottom"/>
            <w:tcBorders>
              <w:top w:val="single" w:sz="8" w:color="auto"/>
            </w:tcBorders>
          </w:tcPr>
          <w:p>
            <w:pPr>
              <w:jc w:val="right"/>
              <w:ind w:right="67"/>
              <w:spacing w:after="0" w:line="162" w:lineRule="exact"/>
              <w:rPr>
                <w:sz w:val="20"/>
                <w:szCs w:val="20"/>
                <w:color w:val="auto"/>
              </w:rPr>
            </w:pPr>
            <w:r>
              <w:rPr>
                <w:rFonts w:ascii="Arial" w:cs="Arial" w:eastAsia="Arial" w:hAnsi="Arial"/>
                <w:sz w:val="15"/>
                <w:szCs w:val="15"/>
                <w:color w:val="auto"/>
              </w:rPr>
              <w:t>115.57</w:t>
            </w:r>
          </w:p>
        </w:tc>
        <w:tc>
          <w:tcPr>
            <w:tcW w:w="1440" w:type="dxa"/>
            <w:vAlign w:val="bottom"/>
            <w:tcBorders>
              <w:top w:val="single" w:sz="8" w:color="auto"/>
            </w:tcBorders>
          </w:tcPr>
          <w:p>
            <w:pPr>
              <w:jc w:val="right"/>
              <w:ind w:right="65"/>
              <w:spacing w:after="0" w:line="162" w:lineRule="exact"/>
              <w:rPr>
                <w:sz w:val="20"/>
                <w:szCs w:val="20"/>
                <w:color w:val="auto"/>
              </w:rPr>
            </w:pPr>
            <w:r>
              <w:rPr>
                <w:rFonts w:ascii="Arial" w:cs="Arial" w:eastAsia="Arial" w:hAnsi="Arial"/>
                <w:sz w:val="15"/>
                <w:szCs w:val="15"/>
                <w:color w:val="auto"/>
              </w:rPr>
              <w:t>149.70</w:t>
            </w:r>
          </w:p>
        </w:tc>
        <w:tc>
          <w:tcPr>
            <w:tcW w:w="1460" w:type="dxa"/>
            <w:vAlign w:val="bottom"/>
            <w:tcBorders>
              <w:top w:val="single" w:sz="8" w:color="auto"/>
            </w:tcBorders>
          </w:tcPr>
          <w:p>
            <w:pPr>
              <w:jc w:val="right"/>
              <w:ind w:right="65"/>
              <w:spacing w:after="0" w:line="162" w:lineRule="exact"/>
              <w:rPr>
                <w:sz w:val="20"/>
                <w:szCs w:val="20"/>
                <w:color w:val="auto"/>
              </w:rPr>
            </w:pPr>
            <w:r>
              <w:rPr>
                <w:rFonts w:ascii="Arial" w:cs="Arial" w:eastAsia="Arial" w:hAnsi="Arial"/>
                <w:sz w:val="15"/>
                <w:szCs w:val="15"/>
                <w:color w:val="auto"/>
              </w:rPr>
              <w:t>161.86</w:t>
            </w:r>
          </w:p>
        </w:tc>
        <w:tc>
          <w:tcPr>
            <w:tcW w:w="13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133.49</w:t>
            </w:r>
          </w:p>
        </w:tc>
        <w:tc>
          <w:tcPr>
            <w:tcW w:w="20" w:type="dxa"/>
            <w:vAlign w:val="bottom"/>
          </w:tcPr>
          <w:p>
            <w:pPr>
              <w:spacing w:after="0"/>
              <w:rPr>
                <w:sz w:val="14"/>
                <w:szCs w:val="14"/>
                <w:color w:val="auto"/>
              </w:rPr>
            </w:pPr>
          </w:p>
        </w:tc>
      </w:tr>
      <w:tr>
        <w:trPr>
          <w:trHeight w:val="181"/>
        </w:trPr>
        <w:tc>
          <w:tcPr>
            <w:tcW w:w="3760" w:type="dxa"/>
            <w:vAlign w:val="bottom"/>
            <w:gridSpan w:val="2"/>
          </w:tcPr>
          <w:p>
            <w:pPr>
              <w:spacing w:after="0"/>
              <w:rPr>
                <w:sz w:val="20"/>
                <w:szCs w:val="20"/>
                <w:color w:val="auto"/>
              </w:rPr>
            </w:pPr>
            <w:r>
              <w:rPr>
                <w:rFonts w:ascii="Arial" w:cs="Arial" w:eastAsia="Arial" w:hAnsi="Arial"/>
                <w:sz w:val="15"/>
                <w:szCs w:val="15"/>
                <w:color w:val="auto"/>
              </w:rPr>
              <w:t>Standard &amp; Poors 500</w:t>
            </w:r>
          </w:p>
        </w:tc>
        <w:tc>
          <w:tcPr>
            <w:tcW w:w="560" w:type="dxa"/>
            <w:vAlign w:val="bottom"/>
          </w:tcPr>
          <w:p>
            <w:pPr>
              <w:jc w:val="right"/>
              <w:ind w:right="65"/>
              <w:spacing w:after="0"/>
              <w:rPr>
                <w:sz w:val="20"/>
                <w:szCs w:val="20"/>
                <w:color w:val="auto"/>
              </w:rPr>
            </w:pPr>
            <w:r>
              <w:rPr>
                <w:rFonts w:ascii="Arial" w:cs="Arial" w:eastAsia="Arial" w:hAnsi="Arial"/>
                <w:sz w:val="15"/>
                <w:szCs w:val="15"/>
                <w:color w:val="auto"/>
                <w:w w:val="87"/>
              </w:rPr>
              <w:t>100.00</w:t>
            </w:r>
          </w:p>
        </w:tc>
        <w:tc>
          <w:tcPr>
            <w:tcW w:w="1320" w:type="dxa"/>
            <w:vAlign w:val="bottom"/>
          </w:tcPr>
          <w:p>
            <w:pPr>
              <w:jc w:val="right"/>
              <w:spacing w:after="0"/>
              <w:rPr>
                <w:sz w:val="20"/>
                <w:szCs w:val="20"/>
                <w:color w:val="auto"/>
              </w:rPr>
            </w:pPr>
            <w:r>
              <w:rPr>
                <w:rFonts w:ascii="Arial" w:cs="Arial" w:eastAsia="Arial" w:hAnsi="Arial"/>
                <w:sz w:val="15"/>
                <w:szCs w:val="15"/>
                <w:color w:val="auto"/>
              </w:rPr>
              <w:t>86.96</w:t>
            </w:r>
          </w:p>
        </w:tc>
        <w:tc>
          <w:tcPr>
            <w:tcW w:w="1580" w:type="dxa"/>
            <w:vAlign w:val="bottom"/>
          </w:tcPr>
          <w:p>
            <w:pPr>
              <w:jc w:val="right"/>
              <w:ind w:right="67"/>
              <w:spacing w:after="0"/>
              <w:rPr>
                <w:sz w:val="20"/>
                <w:szCs w:val="20"/>
                <w:color w:val="auto"/>
              </w:rPr>
            </w:pPr>
            <w:r>
              <w:rPr>
                <w:rFonts w:ascii="Arial" w:cs="Arial" w:eastAsia="Arial" w:hAnsi="Arial"/>
                <w:sz w:val="15"/>
                <w:szCs w:val="15"/>
                <w:color w:val="auto"/>
              </w:rPr>
              <w:t>66.64</w:t>
            </w:r>
          </w:p>
        </w:tc>
        <w:tc>
          <w:tcPr>
            <w:tcW w:w="1440" w:type="dxa"/>
            <w:vAlign w:val="bottom"/>
          </w:tcPr>
          <w:p>
            <w:pPr>
              <w:jc w:val="right"/>
              <w:ind w:right="65"/>
              <w:spacing w:after="0"/>
              <w:rPr>
                <w:sz w:val="20"/>
                <w:szCs w:val="20"/>
                <w:color w:val="auto"/>
              </w:rPr>
            </w:pPr>
            <w:r>
              <w:rPr>
                <w:rFonts w:ascii="Arial" w:cs="Arial" w:eastAsia="Arial" w:hAnsi="Arial"/>
                <w:sz w:val="15"/>
                <w:szCs w:val="15"/>
                <w:color w:val="auto"/>
              </w:rPr>
              <w:t>84.22</w:t>
            </w:r>
          </w:p>
        </w:tc>
        <w:tc>
          <w:tcPr>
            <w:tcW w:w="1460" w:type="dxa"/>
            <w:vAlign w:val="bottom"/>
          </w:tcPr>
          <w:p>
            <w:pPr>
              <w:jc w:val="right"/>
              <w:ind w:right="65"/>
              <w:spacing w:after="0"/>
              <w:rPr>
                <w:sz w:val="20"/>
                <w:szCs w:val="20"/>
                <w:color w:val="auto"/>
              </w:rPr>
            </w:pPr>
            <w:r>
              <w:rPr>
                <w:rFonts w:ascii="Arial" w:cs="Arial" w:eastAsia="Arial" w:hAnsi="Arial"/>
                <w:sz w:val="15"/>
                <w:szCs w:val="15"/>
                <w:color w:val="auto"/>
              </w:rPr>
              <w:t>91.79</w:t>
            </w: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94.55</w:t>
            </w:r>
          </w:p>
        </w:tc>
      </w:tr>
      <w:tr>
        <w:trPr>
          <w:trHeight w:val="190"/>
        </w:trPr>
        <w:tc>
          <w:tcPr>
            <w:tcW w:w="3760" w:type="dxa"/>
            <w:vAlign w:val="bottom"/>
            <w:gridSpan w:val="2"/>
          </w:tcPr>
          <w:p>
            <w:pPr>
              <w:spacing w:after="0"/>
              <w:rPr>
                <w:sz w:val="20"/>
                <w:szCs w:val="20"/>
                <w:color w:val="auto"/>
              </w:rPr>
            </w:pPr>
            <w:r>
              <w:rPr>
                <w:rFonts w:ascii="Arial" w:cs="Arial" w:eastAsia="Arial" w:hAnsi="Arial"/>
                <w:sz w:val="15"/>
                <w:szCs w:val="15"/>
                <w:color w:val="auto"/>
              </w:rPr>
              <w:t>Machinery Index</w:t>
            </w:r>
          </w:p>
        </w:tc>
        <w:tc>
          <w:tcPr>
            <w:tcW w:w="560" w:type="dxa"/>
            <w:vAlign w:val="bottom"/>
          </w:tcPr>
          <w:p>
            <w:pPr>
              <w:jc w:val="right"/>
              <w:ind w:right="65"/>
              <w:spacing w:after="0"/>
              <w:rPr>
                <w:sz w:val="20"/>
                <w:szCs w:val="20"/>
                <w:color w:val="auto"/>
              </w:rPr>
            </w:pPr>
            <w:r>
              <w:rPr>
                <w:rFonts w:ascii="Arial" w:cs="Arial" w:eastAsia="Arial" w:hAnsi="Arial"/>
                <w:sz w:val="15"/>
                <w:szCs w:val="15"/>
                <w:color w:val="auto"/>
                <w:w w:val="87"/>
              </w:rPr>
              <w:t>100.00</w:t>
            </w:r>
          </w:p>
        </w:tc>
        <w:tc>
          <w:tcPr>
            <w:tcW w:w="1320" w:type="dxa"/>
            <w:vAlign w:val="bottom"/>
          </w:tcPr>
          <w:p>
            <w:pPr>
              <w:jc w:val="right"/>
              <w:spacing w:after="0"/>
              <w:rPr>
                <w:sz w:val="20"/>
                <w:szCs w:val="20"/>
                <w:color w:val="auto"/>
              </w:rPr>
            </w:pPr>
            <w:r>
              <w:rPr>
                <w:rFonts w:ascii="Arial" w:cs="Arial" w:eastAsia="Arial" w:hAnsi="Arial"/>
                <w:sz w:val="15"/>
                <w:szCs w:val="15"/>
                <w:color w:val="auto"/>
              </w:rPr>
              <w:t>123.47</w:t>
            </w:r>
          </w:p>
        </w:tc>
        <w:tc>
          <w:tcPr>
            <w:tcW w:w="1580" w:type="dxa"/>
            <w:vAlign w:val="bottom"/>
          </w:tcPr>
          <w:p>
            <w:pPr>
              <w:jc w:val="right"/>
              <w:ind w:right="67"/>
              <w:spacing w:after="0"/>
              <w:rPr>
                <w:sz w:val="20"/>
                <w:szCs w:val="20"/>
                <w:color w:val="auto"/>
              </w:rPr>
            </w:pPr>
            <w:r>
              <w:rPr>
                <w:rFonts w:ascii="Arial" w:cs="Arial" w:eastAsia="Arial" w:hAnsi="Arial"/>
                <w:sz w:val="15"/>
                <w:szCs w:val="15"/>
                <w:color w:val="auto"/>
              </w:rPr>
              <w:t>123.59</w:t>
            </w:r>
          </w:p>
        </w:tc>
        <w:tc>
          <w:tcPr>
            <w:tcW w:w="1440" w:type="dxa"/>
            <w:vAlign w:val="bottom"/>
          </w:tcPr>
          <w:p>
            <w:pPr>
              <w:jc w:val="right"/>
              <w:ind w:right="65"/>
              <w:spacing w:after="0"/>
              <w:rPr>
                <w:sz w:val="20"/>
                <w:szCs w:val="20"/>
                <w:color w:val="auto"/>
              </w:rPr>
            </w:pPr>
            <w:r>
              <w:rPr>
                <w:rFonts w:ascii="Arial" w:cs="Arial" w:eastAsia="Arial" w:hAnsi="Arial"/>
                <w:sz w:val="15"/>
                <w:szCs w:val="15"/>
                <w:color w:val="auto"/>
              </w:rPr>
              <w:t>195.16</w:t>
            </w:r>
          </w:p>
        </w:tc>
        <w:tc>
          <w:tcPr>
            <w:tcW w:w="1460" w:type="dxa"/>
            <w:vAlign w:val="bottom"/>
          </w:tcPr>
          <w:p>
            <w:pPr>
              <w:jc w:val="right"/>
              <w:ind w:right="65"/>
              <w:spacing w:after="0"/>
              <w:rPr>
                <w:sz w:val="20"/>
                <w:szCs w:val="20"/>
                <w:color w:val="auto"/>
              </w:rPr>
            </w:pPr>
            <w:r>
              <w:rPr>
                <w:rFonts w:ascii="Arial" w:cs="Arial" w:eastAsia="Arial" w:hAnsi="Arial"/>
                <w:sz w:val="15"/>
                <w:szCs w:val="15"/>
                <w:color w:val="auto"/>
              </w:rPr>
              <w:t>242.27</w:t>
            </w: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262.95</w:t>
            </w:r>
          </w:p>
        </w:tc>
      </w:tr>
      <w:tr>
        <w:trPr>
          <w:trHeight w:val="546"/>
        </w:trPr>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jc w:val="right"/>
              <w:ind w:right="1367"/>
              <w:spacing w:after="0"/>
              <w:rPr>
                <w:sz w:val="20"/>
                <w:szCs w:val="20"/>
                <w:color w:val="auto"/>
              </w:rPr>
            </w:pPr>
            <w:r>
              <w:rPr>
                <w:rFonts w:ascii="Arial" w:cs="Arial" w:eastAsia="Arial" w:hAnsi="Arial"/>
                <w:sz w:val="12"/>
                <w:szCs w:val="12"/>
                <w:color w:val="auto"/>
                <w:w w:val="89"/>
              </w:rPr>
              <w:t>15</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
        </w:trPr>
        <w:tc>
          <w:tcPr>
            <w:tcW w:w="246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50"/>
          </w:cols>
          <w:pgMar w:left="230" w:top="758" w:right="219" w:bottom="1440" w:gutter="0" w:footer="0" w:header="0"/>
        </w:sectPr>
      </w:pPr>
    </w:p>
    <w:bookmarkStart w:id="16" w:name="page17"/>
    <w:bookmarkEnd w:id="16"/>
    <w:p>
      <w:pPr>
        <w:jc w:val="center"/>
        <w:ind w:right="-259"/>
        <w:spacing w:after="0"/>
        <w:rPr>
          <w:sz w:val="20"/>
          <w:szCs w:val="20"/>
          <w:color w:val="auto"/>
        </w:rPr>
      </w:pPr>
      <w:r>
        <w:rPr>
          <w:rFonts w:ascii="Arial" w:cs="Arial" w:eastAsia="Arial" w:hAnsi="Arial"/>
          <w:sz w:val="15"/>
          <w:szCs w:val="15"/>
          <w:b w:val="1"/>
          <w:bCs w:val="1"/>
          <w:color w:val="auto"/>
        </w:rPr>
        <w:t>ANNUAL REPORT</w:t>
      </w:r>
    </w:p>
    <w:p>
      <w:pPr>
        <w:spacing w:after="0" w:line="238" w:lineRule="exact"/>
        <w:rPr>
          <w:sz w:val="20"/>
          <w:szCs w:val="20"/>
          <w:color w:val="auto"/>
        </w:rPr>
      </w:pPr>
    </w:p>
    <w:p>
      <w:pPr>
        <w:jc w:val="both"/>
        <w:ind w:firstLine="542"/>
        <w:spacing w:after="0" w:line="355" w:lineRule="auto"/>
        <w:rPr>
          <w:sz w:val="20"/>
          <w:szCs w:val="20"/>
          <w:color w:val="auto"/>
        </w:rPr>
      </w:pPr>
      <w:r>
        <w:rPr>
          <w:rFonts w:ascii="Arial" w:cs="Arial" w:eastAsia="Arial" w:hAnsi="Arial"/>
          <w:sz w:val="13"/>
          <w:szCs w:val="13"/>
          <w:color w:val="auto"/>
        </w:rPr>
        <w:t>The Company's 2005 Annual Report to Shareholders, which includes its Annual Report on Form 10-K for the year ended December 31, 2005, is being mailed together with this Proxy Statement. Exhibits to the Annual Report on Form 10-K may be obtained by contacting the Secretary of the company at 2000 Waters Edge Drive, Johnson City, Tennessee 37604.</w:t>
      </w:r>
    </w:p>
    <w:p>
      <w:pPr>
        <w:spacing w:after="0" w:line="145" w:lineRule="exact"/>
        <w:rPr>
          <w:sz w:val="20"/>
          <w:szCs w:val="20"/>
          <w:color w:val="auto"/>
        </w:rPr>
      </w:pPr>
    </w:p>
    <w:p>
      <w:pPr>
        <w:jc w:val="both"/>
        <w:ind w:firstLine="542"/>
        <w:spacing w:after="0" w:line="263" w:lineRule="auto"/>
        <w:rPr>
          <w:sz w:val="20"/>
          <w:szCs w:val="20"/>
          <w:color w:val="auto"/>
        </w:rPr>
      </w:pPr>
      <w:r>
        <w:rPr>
          <w:rFonts w:ascii="Arial" w:cs="Arial" w:eastAsia="Arial" w:hAnsi="Arial"/>
          <w:sz w:val="15"/>
          <w:szCs w:val="15"/>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the Compensation Committee Report and the Stock Performance Graph (included herein) shall not be incorporated by reference into any such filings.</w:t>
      </w: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By Order of the Board of Directors,</w:t>
      </w:r>
    </w:p>
    <w:p>
      <w:pPr>
        <w:spacing w:after="0" w:line="189" w:lineRule="exact"/>
        <w:rPr>
          <w:sz w:val="20"/>
          <w:szCs w:val="20"/>
          <w:color w:val="auto"/>
        </w:rPr>
      </w:pPr>
    </w:p>
    <w:p>
      <w:pPr>
        <w:ind w:left="5060"/>
        <w:spacing w:after="0"/>
        <w:rPr>
          <w:sz w:val="20"/>
          <w:szCs w:val="20"/>
          <w:color w:val="auto"/>
        </w:rPr>
      </w:pPr>
      <w:r>
        <w:rPr>
          <w:rFonts w:ascii="Arial" w:cs="Arial" w:eastAsia="Arial" w:hAnsi="Arial"/>
          <w:sz w:val="15"/>
          <w:szCs w:val="15"/>
          <w:u w:val="single" w:color="auto"/>
          <w:color w:val="auto"/>
        </w:rPr>
        <w:t>/s/ William C. Kelly, Jr.</w:t>
      </w:r>
    </w:p>
    <w:p>
      <w:pPr>
        <w:spacing w:after="0" w:line="1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William C. Kelly, Jr.</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Vice President, Secretary and Chief Administrative Officer</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SHAREHOLDERS ARE REQUESTED TO MARK, DATE AND SIGN THE ENCLOSED PROXY CARD AND RETURN IT IN THE ENCLOSED ENVELOPE.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YOUR PROMPT RESPONSE WILL BE HELPFUL, AND YOUR COOPERATION WILL BE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wp:posOffset>
            </wp:positionV>
            <wp:extent cx="727456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60"/>
          </w:cols>
          <w:pgMar w:left="240" w:top="328" w:right="49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5"/>
          <w:szCs w:val="15"/>
          <w:b w:val="1"/>
          <w:bCs w:val="1"/>
          <w:color w:val="auto"/>
        </w:rPr>
        <w:t>NN,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2000 Waters Edge Drive, Bldg. C., Ste. 12</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Johnson City, TN 37604</w:t>
      </w:r>
    </w:p>
    <w:p>
      <w:pPr>
        <w:spacing w:after="0" w:line="221" w:lineRule="exact"/>
        <w:rPr>
          <w:sz w:val="20"/>
          <w:szCs w:val="20"/>
          <w:color w:val="auto"/>
        </w:rPr>
      </w:pPr>
    </w:p>
    <w:p>
      <w:pPr>
        <w:ind w:right="560"/>
        <w:spacing w:after="0" w:line="281" w:lineRule="auto"/>
        <w:rPr>
          <w:sz w:val="20"/>
          <w:szCs w:val="20"/>
          <w:color w:val="auto"/>
        </w:rPr>
      </w:pPr>
      <w:r>
        <w:rPr>
          <w:rFonts w:ascii="Arial" w:cs="Arial" w:eastAsia="Arial" w:hAnsi="Arial"/>
          <w:sz w:val="15"/>
          <w:szCs w:val="15"/>
          <w:b w:val="1"/>
          <w:bCs w:val="1"/>
          <w:color w:val="auto"/>
        </w:rPr>
        <w:t>SOLICITED BY THE BOARD OF DIRECTORS FOR THE ANNUAL MEETING OF STOCKHOLDERS TO BE HELD ON MAY 18, 2006, AT THE RENAISSANCE CHARLESTON HOTEL, 68 WENTWORTH STREET, CHARLESTON, SC 29401.</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undersigned stockholder hereby appoints Roderick R. Baty and James H. Dorton,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97" w:lineRule="exact"/>
        <w:rPr>
          <w:sz w:val="20"/>
          <w:szCs w:val="20"/>
          <w:color w:val="auto"/>
        </w:rPr>
      </w:pPr>
    </w:p>
    <w:p>
      <w:pPr>
        <w:ind w:right="440"/>
        <w:spacing w:after="0" w:line="281" w:lineRule="auto"/>
        <w:rPr>
          <w:sz w:val="20"/>
          <w:szCs w:val="20"/>
          <w:color w:val="auto"/>
        </w:rPr>
      </w:pPr>
      <w:r>
        <w:rPr>
          <w:rFonts w:ascii="Arial" w:cs="Arial" w:eastAsia="Arial" w:hAnsi="Arial"/>
          <w:sz w:val="15"/>
          <w:szCs w:val="15"/>
          <w:b w:val="1"/>
          <w:bCs w:val="1"/>
          <w:color w:val="auto"/>
        </w:rPr>
        <w:t>THE SHARES REPRESENTED BY THIS PROXY WILL BE VOTED AS DIRECTED BY THE STOCKHOLDER. IF NO DIRECTION IS GIVEN, SHARES WILL BE VOTED FOR EACH OF THE DIRECTOR NOMINEES AND FOR THE PROPOSAL LISTED BELOW.</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RECOMMENDS A VOTE FOR EACH OF THE DIRECTOR NOMINEES AND FOR THE PROPOSAL LISTED BELOW.</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Please mark your votes as indicated in the example S</w:t>
      </w:r>
    </w:p>
    <w:p>
      <w:pPr>
        <w:spacing w:after="0" w:line="234" w:lineRule="exact"/>
        <w:rPr>
          <w:sz w:val="20"/>
          <w:szCs w:val="20"/>
          <w:color w:val="auto"/>
        </w:rPr>
      </w:pPr>
    </w:p>
    <w:p>
      <w:pPr>
        <w:ind w:left="540" w:right="9520" w:hanging="195"/>
        <w:spacing w:after="0" w:line="628"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Election of Directors. Nominees:</w:t>
      </w:r>
    </w:p>
    <w:p>
      <w:pPr>
        <w:sectPr>
          <w:pgSz w:w="11900" w:h="16838" w:orient="portrait"/>
          <w:cols w:equalWidth="0" w:num="1">
            <w:col w:w="11360"/>
          </w:cols>
          <w:pgMar w:left="240" w:top="351" w:right="299" w:bottom="1440" w:gutter="0" w:footer="0" w:header="0"/>
        </w:sectPr>
      </w:pPr>
    </w:p>
    <w:p>
      <w:pPr>
        <w:spacing w:after="0" w:line="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Roderick R. Baty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Withheld</w:t>
      </w:r>
    </w:p>
    <w:p>
      <w:pPr>
        <w:spacing w:after="0" w:line="65" w:lineRule="exact"/>
        <w:rPr>
          <w:sz w:val="20"/>
          <w:szCs w:val="20"/>
          <w:color w:val="auto"/>
        </w:rPr>
      </w:pPr>
    </w:p>
    <w:p>
      <w:pPr>
        <w:sectPr>
          <w:pgSz w:w="11900" w:h="16838" w:orient="portrait"/>
          <w:cols w:equalWidth="0" w:num="3">
            <w:col w:w="2680" w:space="720"/>
            <w:col w:w="520" w:space="720"/>
            <w:col w:w="6720"/>
          </w:cols>
          <w:pgMar w:left="240" w:top="351" w:right="299" w:bottom="144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Robert M. Aiken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Withheld</w:t>
      </w:r>
    </w:p>
    <w:p>
      <w:pPr>
        <w:spacing w:after="0" w:line="215" w:lineRule="exact"/>
        <w:rPr>
          <w:sz w:val="20"/>
          <w:szCs w:val="20"/>
          <w:color w:val="auto"/>
        </w:rPr>
      </w:pPr>
    </w:p>
    <w:p>
      <w:pPr>
        <w:sectPr>
          <w:pgSz w:w="11900" w:h="16838" w:orient="portrait"/>
          <w:cols w:equalWidth="0" w:num="3">
            <w:col w:w="2640" w:space="720"/>
            <w:col w:w="540" w:space="720"/>
            <w:col w:w="6740"/>
          </w:cols>
          <w:pgMar w:left="240" w:top="351" w:right="299" w:bottom="1440" w:gutter="0" w:footer="0" w:header="0"/>
          <w:type w:val="continuous"/>
        </w:sectPr>
      </w:pPr>
    </w:p>
    <w:p>
      <w:pPr>
        <w:spacing w:after="0" w:line="5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 For ratification of the selection of PRICEWATERHOUSECOOPERS LLP as registered independent public accounting firm.</w:t>
      </w:r>
    </w:p>
    <w:p>
      <w:pPr>
        <w:spacing w:after="0" w:line="287" w:lineRule="exact"/>
        <w:rPr>
          <w:sz w:val="20"/>
          <w:szCs w:val="20"/>
          <w:color w:val="auto"/>
        </w:rPr>
      </w:pPr>
    </w:p>
    <w:p>
      <w:pPr>
        <w:ind w:left="1080"/>
        <w:spacing w:after="0"/>
        <w:tabs>
          <w:tab w:leader="none" w:pos="2760" w:val="left"/>
          <w:tab w:leader="none" w:pos="4720" w:val="left"/>
        </w:tabs>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For</w:t>
      </w:r>
      <w:r>
        <w:rPr>
          <w:sz w:val="20"/>
          <w:szCs w:val="20"/>
          <w:color w:val="auto"/>
        </w:rPr>
        <w:tab/>
      </w:r>
      <w:r>
        <w:rPr>
          <w:rFonts w:ascii="Arial" w:cs="Arial" w:eastAsia="Arial" w:hAnsi="Arial"/>
          <w:sz w:val="15"/>
          <w:szCs w:val="15"/>
          <w:color w:val="auto"/>
        </w:rPr>
        <w:t xml:space="preserve">£ </w:t>
      </w:r>
      <w:r>
        <w:rPr>
          <w:rFonts w:ascii="Arial" w:cs="Arial" w:eastAsia="Arial" w:hAnsi="Arial"/>
          <w:sz w:val="15"/>
          <w:szCs w:val="15"/>
          <w:b w:val="1"/>
          <w:bCs w:val="1"/>
          <w:color w:val="auto"/>
        </w:rPr>
        <w:t>Against</w:t>
      </w:r>
      <w:r>
        <w:rPr>
          <w:sz w:val="20"/>
          <w:szCs w:val="20"/>
          <w:color w:val="auto"/>
        </w:rPr>
        <w:tab/>
      </w:r>
      <w:r>
        <w:rPr>
          <w:rFonts w:ascii="Arial" w:cs="Arial" w:eastAsia="Arial" w:hAnsi="Arial"/>
          <w:sz w:val="13"/>
          <w:szCs w:val="13"/>
          <w:color w:val="auto"/>
        </w:rPr>
        <w:t xml:space="preserve">£ </w:t>
      </w:r>
      <w:r>
        <w:rPr>
          <w:rFonts w:ascii="Arial" w:cs="Arial" w:eastAsia="Arial" w:hAnsi="Arial"/>
          <w:sz w:val="13"/>
          <w:szCs w:val="13"/>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27456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type w:val="continuous"/>
        </w:sectPr>
      </w:pPr>
    </w:p>
    <w:bookmarkStart w:id="18" w:name="page19"/>
    <w:bookmarkEnd w:id="18"/>
    <w:p>
      <w:pPr>
        <w:ind w:right="600"/>
        <w:spacing w:after="0" w:line="266" w:lineRule="auto"/>
        <w:rPr>
          <w:sz w:val="20"/>
          <w:szCs w:val="20"/>
          <w:color w:val="auto"/>
        </w:rPr>
      </w:pPr>
      <w:r>
        <w:rPr>
          <w:rFonts w:ascii="Arial" w:cs="Arial" w:eastAsia="Arial" w:hAnsi="Arial"/>
          <w:sz w:val="15"/>
          <w:szCs w:val="15"/>
          <w:b w:val="1"/>
          <w:bCs w:val="1"/>
          <w:color w:val="auto"/>
        </w:rPr>
        <w:t>THIS PROXY, WHEN PROPERLY EXECUTED, WILL BE VOTED IN THE MANNER DIRECTED HERIN BY THE UNDERSIGNED STOCKHOLDER. IF NO DIRECTION IS MADE, THIS PROXY WILL BE VOTED FOR EACH OF THE DIRECTOR NOMINEES AND FOR THE RATIFICATION OF THE SELECTION OF PRICEWATERHOUSE LLP AS THE COMPANY'S REGISTERED INDEPENDENT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In their discretion, the proxies are authorized to vote upon such other matters as may properly come before the meeting.</w:t>
      </w:r>
    </w:p>
    <w:p>
      <w:pPr>
        <w:spacing w:after="0" w:line="234" w:lineRule="exact"/>
        <w:rPr>
          <w:sz w:val="20"/>
          <w:szCs w:val="20"/>
          <w:color w:val="auto"/>
        </w:rPr>
      </w:pPr>
    </w:p>
    <w:p>
      <w:pPr>
        <w:ind w:right="180"/>
        <w:spacing w:after="0" w:line="313" w:lineRule="auto"/>
        <w:rPr>
          <w:sz w:val="20"/>
          <w:szCs w:val="20"/>
          <w:color w:val="auto"/>
        </w:rPr>
      </w:pPr>
      <w:r>
        <w:rPr>
          <w:rFonts w:ascii="Arial" w:cs="Arial" w:eastAsia="Arial" w:hAnsi="Arial"/>
          <w:sz w:val="14"/>
          <w:szCs w:val="14"/>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393"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SIGNATURE(S)__________________________________________</w:t>
      </w:r>
    </w:p>
    <w:p>
      <w:pPr>
        <w:spacing w:after="0" w:line="234"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DATE:__________________________________________________</w:t>
      </w:r>
    </w:p>
    <w:p>
      <w:pPr>
        <w:spacing w:after="0" w:line="223"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SIGNATURE(S)__________________________________________</w:t>
      </w:r>
    </w:p>
    <w:p>
      <w:pPr>
        <w:spacing w:after="0" w:line="223"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DATE:__________________________________________________</w:t>
      </w:r>
    </w:p>
    <w:sectPr>
      <w:pgSz w:w="11900" w:h="16838" w:orient="portrait"/>
      <w:cols w:equalWidth="0" w:num="1">
        <w:col w:w="11520"/>
      </w:cols>
      <w:pgMar w:left="240" w:top="35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lvl w:ilvl="1">
      <w:lvlJc w:val="left"/>
      <w:lvlText w:val="%2."/>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amp;"/>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2019-12-14T03:16:51Z</dcterms:created>
  <dcterms:modified xsi:type="dcterms:W3CDTF">2019-12-14T03:16:51Z</dcterms:modified>
</cp:coreProperties>
</file>