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388620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20" w:space="720"/>
            <w:col w:w="286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08" w:lineRule="exact"/>
        <w:rPr>
          <w:sz w:val="24"/>
          <w:szCs w:val="24"/>
          <w:color w:val="auto"/>
        </w:rPr>
      </w:pPr>
    </w:p>
    <w:p>
      <w:pPr>
        <w:sectPr>
          <w:pgSz w:w="11900" w:h="16838" w:orient="portrait"/>
          <w:cols w:equalWidth="0" w:num="3">
            <w:col w:w="4500" w:space="720"/>
            <w:col w:w="2760" w:space="720"/>
            <w:col w:w="2320"/>
          </w:cols>
          <w:pgMar w:left="440" w:top="368" w:right="439" w:bottom="1440" w:gutter="0" w:footer="0" w:header="0"/>
          <w:type w:val="continuous"/>
        </w:sectPr>
      </w:pPr>
    </w:p>
    <w:p>
      <w:pPr>
        <w:jc w:val="center"/>
        <w:ind w:right="920"/>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28277</w:t>
      </w:r>
    </w:p>
    <w:p>
      <w:pPr>
        <w:spacing w:after="0" w:line="62" w:lineRule="exact"/>
        <w:rPr>
          <w:sz w:val="24"/>
          <w:szCs w:val="24"/>
          <w:color w:val="auto"/>
        </w:rPr>
      </w:pPr>
    </w:p>
    <w:p>
      <w:pPr>
        <w:sectPr>
          <w:pgSz w:w="11900" w:h="16838" w:orient="portrait"/>
          <w:cols w:equalWidth="0" w:num="2">
            <w:col w:w="8320" w:space="720"/>
            <w:col w:w="1980"/>
          </w:cols>
          <w:pgMar w:left="440" w:top="368" w:right="439" w:bottom="1440" w:gutter="0" w:footer="0" w:header="0"/>
          <w:type w:val="continuous"/>
        </w:sectPr>
      </w:pPr>
    </w:p>
    <w:p>
      <w:pPr>
        <w:ind w:left="25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8200" w:space="720"/>
            <w:col w:w="210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0"/>
          </w:cols>
          <w:pgMar w:left="440" w:top="368" w:right="439" w:bottom="1440" w:gutter="0" w:footer="0" w:header="0"/>
          <w:type w:val="continuous"/>
        </w:sectPr>
      </w:pP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212090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21" w:lineRule="exact"/>
        <w:rPr>
          <w:sz w:val="20"/>
          <w:szCs w:val="20"/>
          <w:color w:val="auto"/>
        </w:rPr>
      </w:pPr>
    </w:p>
    <w:p>
      <w:pPr>
        <w:ind w:firstLine="881"/>
        <w:spacing w:after="0" w:line="291" w:lineRule="auto"/>
        <w:rPr>
          <w:sz w:val="20"/>
          <w:szCs w:val="20"/>
          <w:color w:val="auto"/>
        </w:rPr>
      </w:pPr>
      <w:r>
        <w:rPr>
          <w:rFonts w:ascii="Arial" w:cs="Arial" w:eastAsia="Arial" w:hAnsi="Arial"/>
          <w:sz w:val="16"/>
          <w:szCs w:val="16"/>
          <w:color w:val="auto"/>
        </w:rPr>
        <w:t>As previously announced, effective in the first quarter of 2018, NN, Inc. (the “Company”) implemented a new enterprise and management structure designed to accelerate growth and further balance our portfolio by aligning our strategic assets and businesses. The Company’s businesses were reorganized into the Mobile Solutions, Power Solutions, and Life Sciences groups and are based principally on the end markets they serve. The Autocam Precision Components Group reported in our historical financial statements was renamed as the Mobile Solutions group. The Mobile Solutions group is focused on growth in the general industrial and automotive end markets. The Precision Engineered Products Group reported in our historical financial statements was bifurcated into two new groups – Power Solutions and Life Sciences. The Power Solutions group is focused on growth in the electrical and aerospace and defense end markets. The Life Sciences group is focused on growth in the medical end market.</w:t>
      </w:r>
    </w:p>
    <w:p>
      <w:pPr>
        <w:spacing w:after="0" w:line="167" w:lineRule="exact"/>
        <w:rPr>
          <w:sz w:val="20"/>
          <w:szCs w:val="20"/>
          <w:color w:val="auto"/>
        </w:rPr>
      </w:pPr>
    </w:p>
    <w:p>
      <w:pPr>
        <w:ind w:right="180" w:firstLine="881"/>
        <w:spacing w:after="0" w:line="302" w:lineRule="auto"/>
        <w:rPr>
          <w:sz w:val="20"/>
          <w:szCs w:val="20"/>
          <w:color w:val="auto"/>
        </w:rPr>
      </w:pPr>
      <w:r>
        <w:rPr>
          <w:rFonts w:ascii="Arial" w:cs="Arial" w:eastAsia="Arial" w:hAnsi="Arial"/>
          <w:sz w:val="16"/>
          <w:szCs w:val="16"/>
          <w:color w:val="auto"/>
        </w:rPr>
        <w:t>This realignment has no impact on the Company’s historical consolidated balance sheet, statement of operations or cash flows. To provide historical information on a basis consistent with its new reporting structure, the Company has recast certain historical segment information in the attached Exhibit 99.1 for the years ended December 31, 2017 and 2016, as well as the quarterly periods in the years ended December 31, 2017. This information should be read in conjunction with the Company’s Annual Report on Form 10-K for the year ended December 31, 2017.</w:t>
      </w:r>
    </w:p>
    <w:p>
      <w:pPr>
        <w:spacing w:after="0" w:line="154" w:lineRule="exact"/>
        <w:rPr>
          <w:sz w:val="20"/>
          <w:szCs w:val="20"/>
          <w:color w:val="auto"/>
        </w:rPr>
      </w:pPr>
    </w:p>
    <w:p>
      <w:pPr>
        <w:ind w:right="180" w:firstLine="881"/>
        <w:spacing w:after="0" w:line="286" w:lineRule="auto"/>
        <w:rPr>
          <w:sz w:val="20"/>
          <w:szCs w:val="20"/>
          <w:color w:val="auto"/>
        </w:rPr>
      </w:pPr>
      <w:r>
        <w:rPr>
          <w:rFonts w:ascii="Arial" w:cs="Arial" w:eastAsia="Arial" w:hAnsi="Arial"/>
          <w:sz w:val="17"/>
          <w:szCs w:val="17"/>
          <w:color w:val="auto"/>
        </w:rPr>
        <w:t>The information furnished pursuant to this Item 2.02,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w:t>
      </w:r>
    </w:p>
    <w:p>
      <w:pPr>
        <w:spacing w:after="0" w:line="31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9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Supplemental Business Segment Financial Information</w:t>
        </w:r>
      </w:hyperlink>
    </w:p>
    <w:p>
      <w:pPr>
        <w:sectPr>
          <w:pgSz w:w="11900" w:h="16838" w:orient="portrait"/>
          <w:cols w:equalWidth="0" w:num="1">
            <w:col w:w="11020"/>
          </w:cols>
          <w:pgMar w:left="440" w:top="270"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S. Heiter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General Counsel</w:t>
      </w:r>
    </w:p>
    <w:p>
      <w:pPr>
        <w:sectPr>
          <w:pgSz w:w="11900" w:h="16838" w:orient="portrait"/>
          <w:cols w:equalWidth="0" w:num="1">
            <w:col w:w="10720"/>
          </w:cols>
          <w:pgMar w:left="440" w:top="270" w:right="739" w:bottom="1440" w:gutter="0" w:footer="0" w:header="0"/>
        </w:sectPr>
      </w:pPr>
    </w:p>
    <w:bookmarkStart w:id="3" w:name="page4"/>
    <w:bookmarkEnd w:id="3"/>
    <w:p>
      <w:pPr>
        <w:ind w:left="1010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Supplemental Business Segment Financial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Net Sales and Income from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Life Sciences and Power Solutions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the Year</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6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rPr>
              <w:t>For the Quarters Ended 2017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For the Year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40" w:type="dxa"/>
            <w:vAlign w:val="bottom"/>
          </w:tcPr>
          <w:p>
            <w:pPr>
              <w:spacing w:after="0"/>
              <w:rPr>
                <w:sz w:val="6"/>
                <w:szCs w:val="6"/>
                <w:color w:val="auto"/>
              </w:rPr>
            </w:pPr>
          </w:p>
        </w:tc>
        <w:tc>
          <w:tcPr>
            <w:tcW w:w="1440" w:type="dxa"/>
            <w:vAlign w:val="bottom"/>
            <w:gridSpan w:val="3"/>
            <w:vMerge w:val="restart"/>
          </w:tcPr>
          <w:p>
            <w:pPr>
              <w:ind w:left="520"/>
              <w:spacing w:after="0" w:line="149" w:lineRule="exact"/>
              <w:rPr>
                <w:sz w:val="20"/>
                <w:szCs w:val="20"/>
                <w:color w:val="auto"/>
              </w:rPr>
            </w:pPr>
            <w:r>
              <w:rPr>
                <w:rFonts w:ascii="Arial" w:cs="Arial" w:eastAsia="Arial" w:hAnsi="Arial"/>
                <w:sz w:val="14"/>
                <w:szCs w:val="14"/>
                <w:b w:val="1"/>
                <w:bCs w:val="1"/>
                <w:color w:val="auto"/>
                <w:w w:val="93"/>
              </w:rPr>
              <w:t>Ended 31-Dec,</w:t>
            </w:r>
          </w:p>
        </w:tc>
        <w:tc>
          <w:tcPr>
            <w:tcW w:w="38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260" w:type="dxa"/>
            <w:vAlign w:val="bottom"/>
            <w:tcBorders>
              <w:bottom w:val="single" w:sz="8" w:color="auto"/>
            </w:tcBorders>
            <w:gridSpan w:val="6"/>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500" w:type="dxa"/>
            <w:vAlign w:val="bottom"/>
            <w:gridSpan w:val="4"/>
            <w:vMerge w:val="restart"/>
          </w:tcPr>
          <w:p>
            <w:pPr>
              <w:ind w:left="380"/>
              <w:spacing w:after="0" w:line="149" w:lineRule="exact"/>
              <w:rPr>
                <w:sz w:val="20"/>
                <w:szCs w:val="20"/>
                <w:color w:val="auto"/>
              </w:rPr>
            </w:pPr>
            <w:r>
              <w:rPr>
                <w:rFonts w:ascii="Arial" w:cs="Arial" w:eastAsia="Arial" w:hAnsi="Arial"/>
                <w:sz w:val="14"/>
                <w:szCs w:val="14"/>
                <w:b w:val="1"/>
                <w:bCs w:val="1"/>
                <w:color w:val="auto"/>
              </w:rPr>
              <w:t>Ended 31-Dec,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31-Mar</w:t>
            </w:r>
          </w:p>
        </w:tc>
        <w:tc>
          <w:tcPr>
            <w:tcW w:w="380" w:type="dxa"/>
            <w:vAlign w:val="bottom"/>
          </w:tcPr>
          <w:p>
            <w:pPr>
              <w:spacing w:after="0"/>
              <w:rPr>
                <w:sz w:val="4"/>
                <w:szCs w:val="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30-Jun</w:t>
            </w: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30-Sep</w:t>
            </w: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1"/>
              </w:rPr>
              <w:t>31-Dec</w:t>
            </w: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Precision Engineered Products</w:t>
            </w: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GAAP net sales</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258,816</w:t>
            </w:r>
          </w:p>
        </w:tc>
        <w:tc>
          <w:tcPr>
            <w:tcW w:w="100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$ 71,109</w:t>
            </w:r>
          </w:p>
        </w:tc>
        <w:tc>
          <w:tcPr>
            <w:tcW w:w="1020" w:type="dxa"/>
            <w:vAlign w:val="bottom"/>
            <w:gridSpan w:val="2"/>
          </w:tcPr>
          <w:p>
            <w:pPr>
              <w:jc w:val="center"/>
              <w:ind w:left="294"/>
              <w:spacing w:after="0"/>
              <w:rPr>
                <w:sz w:val="20"/>
                <w:szCs w:val="20"/>
                <w:color w:val="auto"/>
              </w:rPr>
            </w:pPr>
            <w:r>
              <w:rPr>
                <w:rFonts w:ascii="Arial" w:cs="Arial" w:eastAsia="Arial" w:hAnsi="Arial"/>
                <w:sz w:val="18"/>
                <w:szCs w:val="18"/>
                <w:color w:val="auto"/>
                <w:w w:val="91"/>
              </w:rPr>
              <w:t>$ 71,289</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66,492</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74,051</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282,941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33,900</w:t>
            </w:r>
          </w:p>
        </w:tc>
        <w:tc>
          <w:tcPr>
            <w:tcW w:w="100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1"/>
              </w:rPr>
              <w:t>$ 10,417</w:t>
            </w:r>
          </w:p>
        </w:tc>
        <w:tc>
          <w:tcPr>
            <w:tcW w:w="1020" w:type="dxa"/>
            <w:vAlign w:val="bottom"/>
            <w:gridSpan w:val="2"/>
            <w:shd w:val="clear" w:color="auto" w:fill="CCEEFF"/>
          </w:tcPr>
          <w:p>
            <w:pPr>
              <w:jc w:val="center"/>
              <w:ind w:left="294"/>
              <w:spacing w:after="0"/>
              <w:rPr>
                <w:sz w:val="20"/>
                <w:szCs w:val="20"/>
                <w:color w:val="auto"/>
              </w:rPr>
            </w:pPr>
            <w:r>
              <w:rPr>
                <w:rFonts w:ascii="Arial" w:cs="Arial" w:eastAsia="Arial" w:hAnsi="Arial"/>
                <w:sz w:val="18"/>
                <w:szCs w:val="18"/>
                <w:color w:val="auto"/>
                <w:w w:val="91"/>
              </w:rPr>
              <w:t>$ 10,617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Non-GAAP adjusted income from operations (a)</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58,279</w:t>
            </w:r>
          </w:p>
        </w:tc>
        <w:tc>
          <w:tcPr>
            <w:tcW w:w="1000" w:type="dxa"/>
            <w:vAlign w:val="bottom"/>
            <w:gridSpan w:val="2"/>
          </w:tcPr>
          <w:p>
            <w:pPr>
              <w:jc w:val="center"/>
              <w:ind w:left="270"/>
              <w:spacing w:after="0"/>
              <w:rPr>
                <w:sz w:val="20"/>
                <w:szCs w:val="20"/>
                <w:color w:val="auto"/>
              </w:rPr>
            </w:pPr>
            <w:r>
              <w:rPr>
                <w:rFonts w:ascii="Arial" w:cs="Arial" w:eastAsia="Arial" w:hAnsi="Arial"/>
                <w:sz w:val="18"/>
                <w:szCs w:val="18"/>
                <w:color w:val="auto"/>
                <w:w w:val="91"/>
              </w:rPr>
              <w:t>$ 15,483</w:t>
            </w:r>
          </w:p>
        </w:tc>
        <w:tc>
          <w:tcPr>
            <w:tcW w:w="1020" w:type="dxa"/>
            <w:vAlign w:val="bottom"/>
            <w:gridSpan w:val="2"/>
          </w:tcPr>
          <w:p>
            <w:pPr>
              <w:jc w:val="center"/>
              <w:ind w:left="294"/>
              <w:spacing w:after="0"/>
              <w:rPr>
                <w:sz w:val="20"/>
                <w:szCs w:val="20"/>
                <w:color w:val="auto"/>
              </w:rPr>
            </w:pPr>
            <w:r>
              <w:rPr>
                <w:rFonts w:ascii="Arial" w:cs="Arial" w:eastAsia="Arial" w:hAnsi="Arial"/>
                <w:sz w:val="18"/>
                <w:szCs w:val="18"/>
                <w:color w:val="auto"/>
                <w:w w:val="91"/>
              </w:rPr>
              <w:t>$ 15,584</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12,544</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15,127</w:t>
            </w:r>
          </w:p>
        </w:tc>
        <w:tc>
          <w:tcPr>
            <w:tcW w:w="5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58,738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operating margin (1)</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For the Year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8"/>
            <w:vMerge w:val="restart"/>
          </w:tcPr>
          <w:p>
            <w:pPr>
              <w:jc w:val="right"/>
              <w:ind w:right="180"/>
              <w:spacing w:after="0"/>
              <w:rPr>
                <w:sz w:val="20"/>
                <w:szCs w:val="20"/>
                <w:color w:val="auto"/>
              </w:rPr>
            </w:pPr>
            <w:r>
              <w:rPr>
                <w:rFonts w:ascii="Arial" w:cs="Arial" w:eastAsia="Arial" w:hAnsi="Arial"/>
                <w:sz w:val="14"/>
                <w:szCs w:val="14"/>
                <w:b w:val="1"/>
                <w:bCs w:val="1"/>
                <w:color w:val="auto"/>
                <w:w w:val="97"/>
              </w:rPr>
              <w:t>For the Quarters Ended 2017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40" w:type="dxa"/>
            <w:vAlign w:val="bottom"/>
          </w:tcPr>
          <w:p>
            <w:pPr>
              <w:spacing w:after="0"/>
              <w:rPr>
                <w:sz w:val="6"/>
                <w:szCs w:val="6"/>
                <w:color w:val="auto"/>
              </w:rPr>
            </w:pPr>
          </w:p>
        </w:tc>
        <w:tc>
          <w:tcPr>
            <w:tcW w:w="1700" w:type="dxa"/>
            <w:vAlign w:val="bottom"/>
            <w:gridSpan w:val="4"/>
            <w:vMerge w:val="restart"/>
          </w:tcPr>
          <w:p>
            <w:pPr>
              <w:ind w:left="520"/>
              <w:spacing w:after="0" w:line="149" w:lineRule="exact"/>
              <w:rPr>
                <w:sz w:val="20"/>
                <w:szCs w:val="20"/>
                <w:color w:val="auto"/>
              </w:rPr>
            </w:pPr>
            <w:r>
              <w:rPr>
                <w:rFonts w:ascii="Arial" w:cs="Arial" w:eastAsia="Arial" w:hAnsi="Arial"/>
                <w:sz w:val="14"/>
                <w:szCs w:val="14"/>
                <w:b w:val="1"/>
                <w:bCs w:val="1"/>
                <w:color w:val="auto"/>
              </w:rPr>
              <w:t>Ended 31-Dec,</w:t>
            </w: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gridSpan w:val="8"/>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gridSpan w:val="4"/>
            <w:vMerge w:val="restart"/>
          </w:tcPr>
          <w:p>
            <w:pPr>
              <w:ind w:left="120"/>
              <w:spacing w:after="0" w:line="149" w:lineRule="exact"/>
              <w:rPr>
                <w:sz w:val="20"/>
                <w:szCs w:val="20"/>
                <w:color w:val="auto"/>
              </w:rPr>
            </w:pPr>
            <w:r>
              <w:rPr>
                <w:rFonts w:ascii="Arial" w:cs="Arial" w:eastAsia="Arial" w:hAnsi="Arial"/>
                <w:sz w:val="14"/>
                <w:szCs w:val="14"/>
                <w:b w:val="1"/>
                <w:bCs w:val="1"/>
                <w:color w:val="auto"/>
              </w:rPr>
              <w:t>Ended 31-Dec,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31-Mar</w:t>
            </w: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8"/>
              </w:rPr>
              <w:t>30-Jun</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7"/>
              </w:rPr>
              <w:t>30-Sep</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31-Dec</w:t>
            </w:r>
          </w:p>
        </w:tc>
        <w:tc>
          <w:tcPr>
            <w:tcW w:w="12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Power Solutions</w:t>
            </w: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GAAP net sales</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180,330</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48,424</w:t>
            </w:r>
          </w:p>
        </w:tc>
        <w:tc>
          <w:tcPr>
            <w:tcW w:w="2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$ 48,734</w:t>
            </w:r>
          </w:p>
        </w:tc>
        <w:tc>
          <w:tcPr>
            <w:tcW w:w="2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44,824</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44,620</w:t>
            </w:r>
          </w:p>
        </w:tc>
        <w:tc>
          <w:tcPr>
            <w:tcW w:w="26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186,602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24,060</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Non-GAAP adjusted income from operations (a)</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37,695</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9,620</w:t>
            </w:r>
          </w:p>
        </w:tc>
        <w:tc>
          <w:tcPr>
            <w:tcW w:w="2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9,544</w:t>
            </w:r>
          </w:p>
        </w:tc>
        <w:tc>
          <w:tcPr>
            <w:tcW w:w="2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7,291</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9,048</w:t>
            </w:r>
          </w:p>
        </w:tc>
        <w:tc>
          <w:tcPr>
            <w:tcW w:w="26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35,503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operating margin (1)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For the Year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8"/>
            <w:vMerge w:val="restart"/>
          </w:tcPr>
          <w:p>
            <w:pPr>
              <w:jc w:val="right"/>
              <w:ind w:right="180"/>
              <w:spacing w:after="0"/>
              <w:rPr>
                <w:sz w:val="20"/>
                <w:szCs w:val="20"/>
                <w:color w:val="auto"/>
              </w:rPr>
            </w:pPr>
            <w:r>
              <w:rPr>
                <w:rFonts w:ascii="Arial" w:cs="Arial" w:eastAsia="Arial" w:hAnsi="Arial"/>
                <w:sz w:val="14"/>
                <w:szCs w:val="14"/>
                <w:b w:val="1"/>
                <w:bCs w:val="1"/>
                <w:color w:val="auto"/>
                <w:w w:val="97"/>
              </w:rPr>
              <w:t>For the Quarters Ended 2017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40" w:type="dxa"/>
            <w:vAlign w:val="bottom"/>
          </w:tcPr>
          <w:p>
            <w:pPr>
              <w:spacing w:after="0"/>
              <w:rPr>
                <w:sz w:val="6"/>
                <w:szCs w:val="6"/>
                <w:color w:val="auto"/>
              </w:rPr>
            </w:pPr>
          </w:p>
        </w:tc>
        <w:tc>
          <w:tcPr>
            <w:tcW w:w="1700" w:type="dxa"/>
            <w:vAlign w:val="bottom"/>
            <w:gridSpan w:val="4"/>
            <w:vMerge w:val="restart"/>
          </w:tcPr>
          <w:p>
            <w:pPr>
              <w:ind w:left="520"/>
              <w:spacing w:after="0" w:line="149" w:lineRule="exact"/>
              <w:rPr>
                <w:sz w:val="20"/>
                <w:szCs w:val="20"/>
                <w:color w:val="auto"/>
              </w:rPr>
            </w:pPr>
            <w:r>
              <w:rPr>
                <w:rFonts w:ascii="Arial" w:cs="Arial" w:eastAsia="Arial" w:hAnsi="Arial"/>
                <w:sz w:val="14"/>
                <w:szCs w:val="14"/>
                <w:b w:val="1"/>
                <w:bCs w:val="1"/>
                <w:color w:val="auto"/>
              </w:rPr>
              <w:t>Ended 31-Dec,</w:t>
            </w: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gridSpan w:val="8"/>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gridSpan w:val="4"/>
            <w:vMerge w:val="restart"/>
          </w:tcPr>
          <w:p>
            <w:pPr>
              <w:ind w:left="120"/>
              <w:spacing w:after="0" w:line="149" w:lineRule="exact"/>
              <w:rPr>
                <w:sz w:val="20"/>
                <w:szCs w:val="20"/>
                <w:color w:val="auto"/>
              </w:rPr>
            </w:pPr>
            <w:r>
              <w:rPr>
                <w:rFonts w:ascii="Arial" w:cs="Arial" w:eastAsia="Arial" w:hAnsi="Arial"/>
                <w:sz w:val="14"/>
                <w:szCs w:val="14"/>
                <w:b w:val="1"/>
                <w:bCs w:val="1"/>
                <w:color w:val="auto"/>
              </w:rPr>
              <w:t>Ended 31-Dec,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31-Mar</w:t>
            </w: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8"/>
              </w:rPr>
              <w:t>30-Jun</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7"/>
              </w:rPr>
              <w:t>30-Sep</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31-Dec</w:t>
            </w:r>
          </w:p>
        </w:tc>
        <w:tc>
          <w:tcPr>
            <w:tcW w:w="12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Life Sciences</w:t>
            </w: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GAAP net sales</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80,057</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23,129</w:t>
            </w:r>
          </w:p>
        </w:tc>
        <w:tc>
          <w:tcPr>
            <w:tcW w:w="2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$ 23,114</w:t>
            </w:r>
          </w:p>
        </w:tc>
        <w:tc>
          <w:tcPr>
            <w:tcW w:w="2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22,154</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29,932</w:t>
            </w:r>
          </w:p>
        </w:tc>
        <w:tc>
          <w:tcPr>
            <w:tcW w:w="26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98,329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Non-GAAP adjusted income from operations (a)</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20,584</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5,863</w:t>
            </w:r>
          </w:p>
        </w:tc>
        <w:tc>
          <w:tcPr>
            <w:tcW w:w="22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6,040</w:t>
            </w:r>
          </w:p>
        </w:tc>
        <w:tc>
          <w:tcPr>
            <w:tcW w:w="2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5,253</w:t>
            </w:r>
          </w:p>
        </w:tc>
        <w:tc>
          <w:tcPr>
            <w:tcW w:w="2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6,079</w:t>
            </w:r>
          </w:p>
        </w:tc>
        <w:tc>
          <w:tcPr>
            <w:tcW w:w="26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23,235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operating margin (1)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For the Year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8"/>
            <w:vMerge w:val="restart"/>
          </w:tcPr>
          <w:p>
            <w:pPr>
              <w:jc w:val="right"/>
              <w:ind w:right="180"/>
              <w:spacing w:after="0"/>
              <w:rPr>
                <w:sz w:val="20"/>
                <w:szCs w:val="20"/>
                <w:color w:val="auto"/>
              </w:rPr>
            </w:pPr>
            <w:r>
              <w:rPr>
                <w:rFonts w:ascii="Arial" w:cs="Arial" w:eastAsia="Arial" w:hAnsi="Arial"/>
                <w:sz w:val="14"/>
                <w:szCs w:val="14"/>
                <w:b w:val="1"/>
                <w:bCs w:val="1"/>
                <w:color w:val="auto"/>
                <w:w w:val="97"/>
              </w:rPr>
              <w:t>For the Quarters Ended 2017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040" w:type="dxa"/>
            <w:vAlign w:val="bottom"/>
          </w:tcPr>
          <w:p>
            <w:pPr>
              <w:spacing w:after="0"/>
              <w:rPr>
                <w:sz w:val="6"/>
                <w:szCs w:val="6"/>
                <w:color w:val="auto"/>
              </w:rPr>
            </w:pPr>
          </w:p>
        </w:tc>
        <w:tc>
          <w:tcPr>
            <w:tcW w:w="1700" w:type="dxa"/>
            <w:vAlign w:val="bottom"/>
            <w:gridSpan w:val="4"/>
            <w:vMerge w:val="restart"/>
          </w:tcPr>
          <w:p>
            <w:pPr>
              <w:ind w:left="520"/>
              <w:spacing w:after="0" w:line="149" w:lineRule="exact"/>
              <w:rPr>
                <w:sz w:val="20"/>
                <w:szCs w:val="20"/>
                <w:color w:val="auto"/>
              </w:rPr>
            </w:pPr>
            <w:r>
              <w:rPr>
                <w:rFonts w:ascii="Arial" w:cs="Arial" w:eastAsia="Arial" w:hAnsi="Arial"/>
                <w:sz w:val="14"/>
                <w:szCs w:val="14"/>
                <w:b w:val="1"/>
                <w:bCs w:val="1"/>
                <w:color w:val="auto"/>
              </w:rPr>
              <w:t>Ended 31-Dec,</w:t>
            </w:r>
          </w:p>
        </w:tc>
        <w:tc>
          <w:tcPr>
            <w:tcW w:w="1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gridSpan w:val="8"/>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gridSpan w:val="4"/>
            <w:vMerge w:val="restart"/>
          </w:tcPr>
          <w:p>
            <w:pPr>
              <w:ind w:left="120"/>
              <w:spacing w:after="0" w:line="149" w:lineRule="exact"/>
              <w:rPr>
                <w:sz w:val="20"/>
                <w:szCs w:val="20"/>
                <w:color w:val="auto"/>
              </w:rPr>
            </w:pPr>
            <w:r>
              <w:rPr>
                <w:rFonts w:ascii="Arial" w:cs="Arial" w:eastAsia="Arial" w:hAnsi="Arial"/>
                <w:sz w:val="14"/>
                <w:szCs w:val="14"/>
                <w:b w:val="1"/>
                <w:bCs w:val="1"/>
                <w:color w:val="auto"/>
              </w:rPr>
              <w:t>Ended 31-Dec,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04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31-Mar</w:t>
            </w: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8"/>
              </w:rPr>
              <w:t>30-Jun</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7"/>
              </w:rPr>
              <w:t>30-Sep</w:t>
            </w: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31-Dec</w:t>
            </w:r>
          </w:p>
        </w:tc>
        <w:tc>
          <w:tcPr>
            <w:tcW w:w="12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Elimination</w:t>
            </w: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GAAP net sales</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(444)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(559)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(501)</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Non-GAAP adjusted income from operations (a)</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adjusted operating margin = Non-GAAP adjusted income from operations / GAAP net sales</w:t>
      </w:r>
    </w:p>
    <w:p>
      <w:pPr>
        <w:spacing w:after="0" w:line="23" w:lineRule="exact"/>
        <w:rPr>
          <w:sz w:val="20"/>
          <w:szCs w:val="20"/>
          <w:color w:val="auto"/>
        </w:rPr>
      </w:pPr>
    </w:p>
    <w:p>
      <w:pPr>
        <w:ind w:left="440" w:right="240" w:hanging="436"/>
        <w:spacing w:after="0" w:line="252"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Adjusted income from operations, represents GAAP income from operations, adjusted to exclude the effects of restructuring and integration expense, non-operational charges related to acquisition, divestiture and integration costs, intangible amortization costs for fair value step-up in values related to acquisitions,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p>
      <w:pPr>
        <w:sectPr>
          <w:pgSz w:w="11900" w:h="16838" w:orient="portrait"/>
          <w:cols w:equalWidth="0" w:num="1">
            <w:col w:w="11040"/>
          </w:cols>
          <w:pgMar w:left="440" w:top="121" w:right="4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GAAP Income from Operations to Non-GAAP Adjusted Income from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Supplemental Business Segment Financial Information - Life Sciences and Power Solutions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For the Year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8"/>
            <w:vMerge w:val="restart"/>
          </w:tcPr>
          <w:p>
            <w:pPr>
              <w:jc w:val="right"/>
              <w:ind w:right="160"/>
              <w:spacing w:after="0"/>
              <w:rPr>
                <w:sz w:val="20"/>
                <w:szCs w:val="20"/>
                <w:color w:val="auto"/>
              </w:rPr>
            </w:pPr>
            <w:r>
              <w:rPr>
                <w:rFonts w:ascii="Arial" w:cs="Arial" w:eastAsia="Arial" w:hAnsi="Arial"/>
                <w:sz w:val="14"/>
                <w:szCs w:val="14"/>
                <w:b w:val="1"/>
                <w:bCs w:val="1"/>
                <w:color w:val="auto"/>
                <w:w w:val="96"/>
              </w:rPr>
              <w:t>For the Quarters Ended 2017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120" w:type="dxa"/>
            <w:vAlign w:val="bottom"/>
          </w:tcPr>
          <w:p>
            <w:pPr>
              <w:spacing w:after="0"/>
              <w:rPr>
                <w:sz w:val="6"/>
                <w:szCs w:val="6"/>
                <w:color w:val="auto"/>
              </w:rPr>
            </w:pPr>
          </w:p>
        </w:tc>
        <w:tc>
          <w:tcPr>
            <w:tcW w:w="1780" w:type="dxa"/>
            <w:vAlign w:val="bottom"/>
            <w:gridSpan w:val="4"/>
            <w:vMerge w:val="restart"/>
          </w:tcPr>
          <w:p>
            <w:pPr>
              <w:jc w:val="center"/>
              <w:ind w:left="237"/>
              <w:spacing w:after="0" w:line="149" w:lineRule="exact"/>
              <w:rPr>
                <w:sz w:val="20"/>
                <w:szCs w:val="20"/>
                <w:color w:val="auto"/>
              </w:rPr>
            </w:pPr>
            <w:r>
              <w:rPr>
                <w:rFonts w:ascii="Arial" w:cs="Arial" w:eastAsia="Arial" w:hAnsi="Arial"/>
                <w:sz w:val="14"/>
                <w:szCs w:val="14"/>
                <w:b w:val="1"/>
                <w:bCs w:val="1"/>
                <w:color w:val="auto"/>
                <w:w w:val="93"/>
              </w:rPr>
              <w:t>Ended 31-Dec,</w:t>
            </w: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gridSpan w:val="8"/>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gridSpan w:val="4"/>
            <w:vMerge w:val="restart"/>
          </w:tcPr>
          <w:p>
            <w:pPr>
              <w:ind w:left="120"/>
              <w:spacing w:after="0" w:line="149" w:lineRule="exact"/>
              <w:rPr>
                <w:sz w:val="20"/>
                <w:szCs w:val="20"/>
                <w:color w:val="auto"/>
              </w:rPr>
            </w:pPr>
            <w:r>
              <w:rPr>
                <w:rFonts w:ascii="Arial" w:cs="Arial" w:eastAsia="Arial" w:hAnsi="Arial"/>
                <w:sz w:val="14"/>
                <w:szCs w:val="14"/>
                <w:b w:val="1"/>
                <w:bCs w:val="1"/>
                <w:color w:val="auto"/>
              </w:rPr>
              <w:t>Ended 31-Dec,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78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31-Mar</w:t>
            </w:r>
          </w:p>
        </w:tc>
        <w:tc>
          <w:tcPr>
            <w:tcW w:w="180" w:type="dxa"/>
            <w:vAlign w:val="bottom"/>
          </w:tcPr>
          <w:p>
            <w:pPr>
              <w:spacing w:after="0"/>
              <w:rPr>
                <w:sz w:val="4"/>
                <w:szCs w:val="4"/>
                <w:color w:val="auto"/>
              </w:rPr>
            </w:pPr>
          </w:p>
        </w:tc>
        <w:tc>
          <w:tcPr>
            <w:tcW w:w="8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30-Jun</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7"/>
              </w:rPr>
              <w:t>30-Sep</w:t>
            </w:r>
          </w:p>
        </w:tc>
        <w:tc>
          <w:tcPr>
            <w:tcW w:w="120" w:type="dxa"/>
            <w:vAlign w:val="bottom"/>
          </w:tcPr>
          <w:p>
            <w:pPr>
              <w:spacing w:after="0"/>
              <w:rPr>
                <w:sz w:val="4"/>
                <w:szCs w:val="4"/>
                <w:color w:val="auto"/>
              </w:rPr>
            </w:pPr>
          </w:p>
        </w:tc>
        <w:tc>
          <w:tcPr>
            <w:tcW w:w="8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31-Dec</w:t>
            </w:r>
          </w:p>
        </w:tc>
        <w:tc>
          <w:tcPr>
            <w:tcW w:w="12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13"/>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Precision Engineered Products</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GAAP income from operations</w:t>
            </w:r>
          </w:p>
        </w:tc>
        <w:tc>
          <w:tcPr>
            <w:tcW w:w="8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33,900</w:t>
            </w: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$10,417</w:t>
            </w:r>
          </w:p>
        </w:tc>
        <w:tc>
          <w:tcPr>
            <w:tcW w:w="2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$10,617</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7,177</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8,500</w:t>
            </w:r>
          </w:p>
        </w:tc>
        <w:tc>
          <w:tcPr>
            <w:tcW w:w="26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36,711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Non-GAAP adjusted income from operations (a)</w:t>
            </w:r>
          </w:p>
        </w:tc>
        <w:tc>
          <w:tcPr>
            <w:tcW w:w="6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15,483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15,584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12,544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15,127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operating margin (1)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GAAP net sales</w:t>
            </w:r>
          </w:p>
        </w:tc>
        <w:tc>
          <w:tcPr>
            <w:tcW w:w="8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258,816</w:t>
            </w:r>
          </w:p>
        </w:tc>
        <w:tc>
          <w:tcPr>
            <w:tcW w:w="2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$71,109</w:t>
            </w:r>
          </w:p>
        </w:tc>
        <w:tc>
          <w:tcPr>
            <w:tcW w:w="2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$71,289</w:t>
            </w:r>
          </w:p>
        </w:tc>
        <w:tc>
          <w:tcPr>
            <w:tcW w:w="2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66,492</w:t>
            </w:r>
          </w:p>
        </w:tc>
        <w:tc>
          <w:tcPr>
            <w:tcW w:w="2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74,051</w:t>
            </w:r>
          </w:p>
        </w:tc>
        <w:tc>
          <w:tcPr>
            <w:tcW w:w="260" w:type="dxa"/>
            <w:vAlign w:val="bottom"/>
          </w:tcPr>
          <w:p>
            <w:pPr>
              <w:spacing w:after="0"/>
              <w:rPr>
                <w:sz w:val="20"/>
                <w:szCs w:val="20"/>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282,941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For the Year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8"/>
            <w:vMerge w:val="restart"/>
          </w:tcPr>
          <w:p>
            <w:pPr>
              <w:jc w:val="right"/>
              <w:ind w:right="160"/>
              <w:spacing w:after="0"/>
              <w:rPr>
                <w:sz w:val="20"/>
                <w:szCs w:val="20"/>
                <w:color w:val="auto"/>
              </w:rPr>
            </w:pPr>
            <w:r>
              <w:rPr>
                <w:rFonts w:ascii="Arial" w:cs="Arial" w:eastAsia="Arial" w:hAnsi="Arial"/>
                <w:sz w:val="14"/>
                <w:szCs w:val="14"/>
                <w:b w:val="1"/>
                <w:bCs w:val="1"/>
                <w:color w:val="auto"/>
                <w:w w:val="96"/>
              </w:rPr>
              <w:t>For the Quarters Ended 2017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120" w:type="dxa"/>
            <w:vAlign w:val="bottom"/>
          </w:tcPr>
          <w:p>
            <w:pPr>
              <w:spacing w:after="0"/>
              <w:rPr>
                <w:sz w:val="6"/>
                <w:szCs w:val="6"/>
                <w:color w:val="auto"/>
              </w:rPr>
            </w:pPr>
          </w:p>
        </w:tc>
        <w:tc>
          <w:tcPr>
            <w:tcW w:w="1780" w:type="dxa"/>
            <w:vAlign w:val="bottom"/>
            <w:gridSpan w:val="4"/>
            <w:vMerge w:val="restart"/>
          </w:tcPr>
          <w:p>
            <w:pPr>
              <w:jc w:val="center"/>
              <w:ind w:left="237"/>
              <w:spacing w:after="0" w:line="149" w:lineRule="exact"/>
              <w:rPr>
                <w:sz w:val="20"/>
                <w:szCs w:val="20"/>
                <w:color w:val="auto"/>
              </w:rPr>
            </w:pPr>
            <w:r>
              <w:rPr>
                <w:rFonts w:ascii="Arial" w:cs="Arial" w:eastAsia="Arial" w:hAnsi="Arial"/>
                <w:sz w:val="14"/>
                <w:szCs w:val="14"/>
                <w:b w:val="1"/>
                <w:bCs w:val="1"/>
                <w:color w:val="auto"/>
                <w:w w:val="93"/>
              </w:rPr>
              <w:t>Ended 31-Dec,</w:t>
            </w: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gridSpan w:val="8"/>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gridSpan w:val="4"/>
            <w:vMerge w:val="restart"/>
          </w:tcPr>
          <w:p>
            <w:pPr>
              <w:ind w:left="120"/>
              <w:spacing w:after="0" w:line="149" w:lineRule="exact"/>
              <w:rPr>
                <w:sz w:val="20"/>
                <w:szCs w:val="20"/>
                <w:color w:val="auto"/>
              </w:rPr>
            </w:pPr>
            <w:r>
              <w:rPr>
                <w:rFonts w:ascii="Arial" w:cs="Arial" w:eastAsia="Arial" w:hAnsi="Arial"/>
                <w:sz w:val="14"/>
                <w:szCs w:val="14"/>
                <w:b w:val="1"/>
                <w:bCs w:val="1"/>
                <w:color w:val="auto"/>
              </w:rPr>
              <w:t>Ended 31-Dec,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78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31-Mar</w:t>
            </w:r>
          </w:p>
        </w:tc>
        <w:tc>
          <w:tcPr>
            <w:tcW w:w="180" w:type="dxa"/>
            <w:vAlign w:val="bottom"/>
          </w:tcPr>
          <w:p>
            <w:pPr>
              <w:spacing w:after="0"/>
              <w:rPr>
                <w:sz w:val="4"/>
                <w:szCs w:val="4"/>
                <w:color w:val="auto"/>
              </w:rPr>
            </w:pPr>
          </w:p>
        </w:tc>
        <w:tc>
          <w:tcPr>
            <w:tcW w:w="8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30-Jun</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7"/>
              </w:rPr>
              <w:t>30-Sep</w:t>
            </w:r>
          </w:p>
        </w:tc>
        <w:tc>
          <w:tcPr>
            <w:tcW w:w="120" w:type="dxa"/>
            <w:vAlign w:val="bottom"/>
          </w:tcPr>
          <w:p>
            <w:pPr>
              <w:spacing w:after="0"/>
              <w:rPr>
                <w:sz w:val="4"/>
                <w:szCs w:val="4"/>
                <w:color w:val="auto"/>
              </w:rPr>
            </w:pPr>
          </w:p>
        </w:tc>
        <w:tc>
          <w:tcPr>
            <w:tcW w:w="8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31-Dec</w:t>
            </w:r>
          </w:p>
        </w:tc>
        <w:tc>
          <w:tcPr>
            <w:tcW w:w="12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13"/>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Power Solutions</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GAAP income from operations</w:t>
            </w:r>
          </w:p>
        </w:tc>
        <w:tc>
          <w:tcPr>
            <w:tcW w:w="8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24,060</w:t>
            </w:r>
          </w:p>
        </w:tc>
        <w:tc>
          <w:tcPr>
            <w:tcW w:w="2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6,795</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6,819</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4,166</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5,660</w:t>
            </w:r>
          </w:p>
        </w:tc>
        <w:tc>
          <w:tcPr>
            <w:tcW w:w="26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23,440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Non-GAAP adjusted income from operations (a)</w:t>
            </w:r>
          </w:p>
        </w:tc>
        <w:tc>
          <w:tcPr>
            <w:tcW w:w="6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9,620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9,544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operating margin (1)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GAAP net sales</w:t>
            </w:r>
          </w:p>
        </w:tc>
        <w:tc>
          <w:tcPr>
            <w:tcW w:w="8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180,330</w:t>
            </w:r>
          </w:p>
        </w:tc>
        <w:tc>
          <w:tcPr>
            <w:tcW w:w="2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$48,424</w:t>
            </w:r>
          </w:p>
        </w:tc>
        <w:tc>
          <w:tcPr>
            <w:tcW w:w="2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$48,734</w:t>
            </w:r>
          </w:p>
        </w:tc>
        <w:tc>
          <w:tcPr>
            <w:tcW w:w="2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44,824</w:t>
            </w:r>
          </w:p>
        </w:tc>
        <w:tc>
          <w:tcPr>
            <w:tcW w:w="2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44,620</w:t>
            </w:r>
          </w:p>
        </w:tc>
        <w:tc>
          <w:tcPr>
            <w:tcW w:w="260" w:type="dxa"/>
            <w:vAlign w:val="bottom"/>
          </w:tcPr>
          <w:p>
            <w:pPr>
              <w:spacing w:after="0"/>
              <w:rPr>
                <w:sz w:val="20"/>
                <w:szCs w:val="20"/>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186,602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For the Year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8"/>
            <w:vMerge w:val="restart"/>
          </w:tcPr>
          <w:p>
            <w:pPr>
              <w:jc w:val="right"/>
              <w:ind w:right="160"/>
              <w:spacing w:after="0"/>
              <w:rPr>
                <w:sz w:val="20"/>
                <w:szCs w:val="20"/>
                <w:color w:val="auto"/>
              </w:rPr>
            </w:pPr>
            <w:r>
              <w:rPr>
                <w:rFonts w:ascii="Arial" w:cs="Arial" w:eastAsia="Arial" w:hAnsi="Arial"/>
                <w:sz w:val="14"/>
                <w:szCs w:val="14"/>
                <w:b w:val="1"/>
                <w:bCs w:val="1"/>
                <w:color w:val="auto"/>
                <w:w w:val="96"/>
              </w:rPr>
              <w:t>For the Quarters Ended 2017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120" w:type="dxa"/>
            <w:vAlign w:val="bottom"/>
          </w:tcPr>
          <w:p>
            <w:pPr>
              <w:spacing w:after="0"/>
              <w:rPr>
                <w:sz w:val="6"/>
                <w:szCs w:val="6"/>
                <w:color w:val="auto"/>
              </w:rPr>
            </w:pPr>
          </w:p>
        </w:tc>
        <w:tc>
          <w:tcPr>
            <w:tcW w:w="1780" w:type="dxa"/>
            <w:vAlign w:val="bottom"/>
            <w:gridSpan w:val="4"/>
            <w:vMerge w:val="restart"/>
          </w:tcPr>
          <w:p>
            <w:pPr>
              <w:jc w:val="center"/>
              <w:ind w:left="237"/>
              <w:spacing w:after="0" w:line="149" w:lineRule="exact"/>
              <w:rPr>
                <w:sz w:val="20"/>
                <w:szCs w:val="20"/>
                <w:color w:val="auto"/>
              </w:rPr>
            </w:pPr>
            <w:r>
              <w:rPr>
                <w:rFonts w:ascii="Arial" w:cs="Arial" w:eastAsia="Arial" w:hAnsi="Arial"/>
                <w:sz w:val="14"/>
                <w:szCs w:val="14"/>
                <w:b w:val="1"/>
                <w:bCs w:val="1"/>
                <w:color w:val="auto"/>
                <w:w w:val="93"/>
              </w:rPr>
              <w:t>Ended 31-Dec,</w:t>
            </w: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gridSpan w:val="8"/>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gridSpan w:val="4"/>
            <w:vMerge w:val="restart"/>
          </w:tcPr>
          <w:p>
            <w:pPr>
              <w:ind w:left="120"/>
              <w:spacing w:after="0" w:line="149" w:lineRule="exact"/>
              <w:rPr>
                <w:sz w:val="20"/>
                <w:szCs w:val="20"/>
                <w:color w:val="auto"/>
              </w:rPr>
            </w:pPr>
            <w:r>
              <w:rPr>
                <w:rFonts w:ascii="Arial" w:cs="Arial" w:eastAsia="Arial" w:hAnsi="Arial"/>
                <w:sz w:val="14"/>
                <w:szCs w:val="14"/>
                <w:b w:val="1"/>
                <w:bCs w:val="1"/>
                <w:color w:val="auto"/>
              </w:rPr>
              <w:t>Ended 31-Dec,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78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31-Mar</w:t>
            </w:r>
          </w:p>
        </w:tc>
        <w:tc>
          <w:tcPr>
            <w:tcW w:w="180" w:type="dxa"/>
            <w:vAlign w:val="bottom"/>
          </w:tcPr>
          <w:p>
            <w:pPr>
              <w:spacing w:after="0"/>
              <w:rPr>
                <w:sz w:val="4"/>
                <w:szCs w:val="4"/>
                <w:color w:val="auto"/>
              </w:rPr>
            </w:pPr>
          </w:p>
        </w:tc>
        <w:tc>
          <w:tcPr>
            <w:tcW w:w="8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30-Jun</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7"/>
              </w:rPr>
              <w:t>30-Sep</w:t>
            </w:r>
          </w:p>
        </w:tc>
        <w:tc>
          <w:tcPr>
            <w:tcW w:w="120" w:type="dxa"/>
            <w:vAlign w:val="bottom"/>
          </w:tcPr>
          <w:p>
            <w:pPr>
              <w:spacing w:after="0"/>
              <w:rPr>
                <w:sz w:val="4"/>
                <w:szCs w:val="4"/>
                <w:color w:val="auto"/>
              </w:rPr>
            </w:pPr>
          </w:p>
        </w:tc>
        <w:tc>
          <w:tcPr>
            <w:tcW w:w="8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31-Dec</w:t>
            </w:r>
          </w:p>
        </w:tc>
        <w:tc>
          <w:tcPr>
            <w:tcW w:w="12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13"/>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Life Sciences</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GAAP income from operations</w:t>
            </w:r>
          </w:p>
        </w:tc>
        <w:tc>
          <w:tcPr>
            <w:tcW w:w="8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9,840</w:t>
            </w:r>
          </w:p>
        </w:tc>
        <w:tc>
          <w:tcPr>
            <w:tcW w:w="2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3,622</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3,798</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3,011</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2,840</w:t>
            </w:r>
          </w:p>
        </w:tc>
        <w:tc>
          <w:tcPr>
            <w:tcW w:w="26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13,271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integration expense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Acquisition and transition expense</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Non-GAAP adjusted income from operations (a)</w:t>
            </w:r>
          </w:p>
        </w:tc>
        <w:tc>
          <w:tcPr>
            <w:tcW w:w="6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5,863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6,040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Non-GAAP adjusted operating margin (1)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GAAP net sales</w:t>
            </w:r>
          </w:p>
        </w:tc>
        <w:tc>
          <w:tcPr>
            <w:tcW w:w="8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80,057</w:t>
            </w:r>
          </w:p>
        </w:tc>
        <w:tc>
          <w:tcPr>
            <w:tcW w:w="2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$23,129</w:t>
            </w:r>
          </w:p>
        </w:tc>
        <w:tc>
          <w:tcPr>
            <w:tcW w:w="200" w:type="dxa"/>
            <w:vAlign w:val="bottom"/>
          </w:tcPr>
          <w:p>
            <w:pPr>
              <w:spacing w:after="0"/>
              <w:rPr>
                <w:sz w:val="20"/>
                <w:szCs w:val="20"/>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$23,114</w:t>
            </w:r>
          </w:p>
        </w:tc>
        <w:tc>
          <w:tcPr>
            <w:tcW w:w="2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22,154</w:t>
            </w:r>
          </w:p>
        </w:tc>
        <w:tc>
          <w:tcPr>
            <w:tcW w:w="2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29,932</w:t>
            </w:r>
          </w:p>
        </w:tc>
        <w:tc>
          <w:tcPr>
            <w:tcW w:w="260" w:type="dxa"/>
            <w:vAlign w:val="bottom"/>
          </w:tcPr>
          <w:p>
            <w:pPr>
              <w:spacing w:after="0"/>
              <w:rPr>
                <w:sz w:val="20"/>
                <w:szCs w:val="20"/>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98,329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For the Year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8"/>
            <w:vMerge w:val="restart"/>
          </w:tcPr>
          <w:p>
            <w:pPr>
              <w:jc w:val="right"/>
              <w:ind w:right="160"/>
              <w:spacing w:after="0"/>
              <w:rPr>
                <w:sz w:val="20"/>
                <w:szCs w:val="20"/>
                <w:color w:val="auto"/>
              </w:rPr>
            </w:pPr>
            <w:r>
              <w:rPr>
                <w:rFonts w:ascii="Arial" w:cs="Arial" w:eastAsia="Arial" w:hAnsi="Arial"/>
                <w:sz w:val="14"/>
                <w:szCs w:val="14"/>
                <w:b w:val="1"/>
                <w:bCs w:val="1"/>
                <w:color w:val="auto"/>
                <w:w w:val="96"/>
              </w:rPr>
              <w:t>For the Quarters Ended 2017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For the Year</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4120" w:type="dxa"/>
            <w:vAlign w:val="bottom"/>
          </w:tcPr>
          <w:p>
            <w:pPr>
              <w:spacing w:after="0"/>
              <w:rPr>
                <w:sz w:val="6"/>
                <w:szCs w:val="6"/>
                <w:color w:val="auto"/>
              </w:rPr>
            </w:pPr>
          </w:p>
        </w:tc>
        <w:tc>
          <w:tcPr>
            <w:tcW w:w="1780" w:type="dxa"/>
            <w:vAlign w:val="bottom"/>
            <w:gridSpan w:val="4"/>
            <w:vMerge w:val="restart"/>
          </w:tcPr>
          <w:p>
            <w:pPr>
              <w:jc w:val="center"/>
              <w:ind w:left="237"/>
              <w:spacing w:after="0" w:line="149" w:lineRule="exact"/>
              <w:rPr>
                <w:sz w:val="20"/>
                <w:szCs w:val="20"/>
                <w:color w:val="auto"/>
              </w:rPr>
            </w:pPr>
            <w:r>
              <w:rPr>
                <w:rFonts w:ascii="Arial" w:cs="Arial" w:eastAsia="Arial" w:hAnsi="Arial"/>
                <w:sz w:val="14"/>
                <w:szCs w:val="14"/>
                <w:b w:val="1"/>
                <w:bCs w:val="1"/>
                <w:color w:val="auto"/>
                <w:w w:val="93"/>
              </w:rPr>
              <w:t>Ended 31-Dec,</w:t>
            </w: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gridSpan w:val="8"/>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gridSpan w:val="4"/>
            <w:vMerge w:val="restart"/>
          </w:tcPr>
          <w:p>
            <w:pPr>
              <w:ind w:left="120"/>
              <w:spacing w:after="0" w:line="149" w:lineRule="exact"/>
              <w:rPr>
                <w:sz w:val="20"/>
                <w:szCs w:val="20"/>
                <w:color w:val="auto"/>
              </w:rPr>
            </w:pPr>
            <w:r>
              <w:rPr>
                <w:rFonts w:ascii="Arial" w:cs="Arial" w:eastAsia="Arial" w:hAnsi="Arial"/>
                <w:sz w:val="14"/>
                <w:szCs w:val="14"/>
                <w:b w:val="1"/>
                <w:bCs w:val="1"/>
                <w:color w:val="auto"/>
              </w:rPr>
              <w:t>Ended 31-Dec,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4120" w:type="dxa"/>
            <w:vAlign w:val="bottom"/>
          </w:tcPr>
          <w:p>
            <w:pPr>
              <w:spacing w:after="0"/>
              <w:rPr>
                <w:sz w:val="4"/>
                <w:szCs w:val="4"/>
                <w:color w:val="auto"/>
              </w:rPr>
            </w:pPr>
          </w:p>
        </w:tc>
        <w:tc>
          <w:tcPr>
            <w:tcW w:w="178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31-Mar</w:t>
            </w:r>
          </w:p>
        </w:tc>
        <w:tc>
          <w:tcPr>
            <w:tcW w:w="180" w:type="dxa"/>
            <w:vAlign w:val="bottom"/>
          </w:tcPr>
          <w:p>
            <w:pPr>
              <w:spacing w:after="0"/>
              <w:rPr>
                <w:sz w:val="4"/>
                <w:szCs w:val="4"/>
                <w:color w:val="auto"/>
              </w:rPr>
            </w:pPr>
          </w:p>
        </w:tc>
        <w:tc>
          <w:tcPr>
            <w:tcW w:w="86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30-Jun</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7"/>
              </w:rPr>
              <w:t>30-Sep</w:t>
            </w:r>
          </w:p>
        </w:tc>
        <w:tc>
          <w:tcPr>
            <w:tcW w:w="120" w:type="dxa"/>
            <w:vAlign w:val="bottom"/>
          </w:tcPr>
          <w:p>
            <w:pPr>
              <w:spacing w:after="0"/>
              <w:rPr>
                <w:sz w:val="4"/>
                <w:szCs w:val="4"/>
                <w:color w:val="auto"/>
              </w:rPr>
            </w:pPr>
          </w:p>
        </w:tc>
        <w:tc>
          <w:tcPr>
            <w:tcW w:w="8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31-Dec</w:t>
            </w:r>
          </w:p>
        </w:tc>
        <w:tc>
          <w:tcPr>
            <w:tcW w:w="12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1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$000s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2016</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13"/>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Elimination</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GAAP net sales</w:t>
            </w:r>
          </w:p>
        </w:tc>
        <w:tc>
          <w:tcPr>
            <w:tcW w:w="8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(501)</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adjusted operating margin = Non-GAAP adjusted income from operations / GAAP net sales</w:t>
      </w:r>
    </w:p>
    <w:p>
      <w:pPr>
        <w:spacing w:after="0" w:line="23" w:lineRule="exact"/>
        <w:rPr>
          <w:sz w:val="20"/>
          <w:szCs w:val="20"/>
          <w:color w:val="auto"/>
        </w:rPr>
      </w:pPr>
    </w:p>
    <w:p>
      <w:pPr>
        <w:ind w:left="440" w:right="240" w:hanging="436"/>
        <w:spacing w:after="0" w:line="252"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Adjusted income from operations, represents GAAP income from operations, adjusted to exclude the effects of restructuring and integration expense, non-operational charges related to acquisition, divestiture and integration costs, intangible amortization costs for fair value step-up in values related to acquisitions, and when applicable, our share of income from joint venture operations. We believe this presentation is commonly used by investors and professional research analysts in the valuation, comparison, rating and investment recommendations of companies in the industrial industry. We use this information for comparative purposes within the industry. Non-GAAP adjusted income from operations, is not a measure of financial performance under GAAP and should not be considered as a measure of liquidity or as an alternative to GAAP income from operations.</w:t>
      </w: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2019-12-28T19:40:59Z</dcterms:created>
  <dcterms:modified xsi:type="dcterms:W3CDTF">2019-12-28T19:40:59Z</dcterms:modified>
</cp:coreProperties>
</file>