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ind w:left="44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PURSUANT TO SECTION 13 OR 15(d)</w:t>
      </w:r>
    </w:p>
    <w:p>
      <w:pPr>
        <w:jc w:val="center"/>
        <w:ind w:right="-6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800"/>
        <w:spacing w:after="0"/>
        <w:rPr>
          <w:sz w:val="20"/>
          <w:szCs w:val="20"/>
          <w:color w:val="auto"/>
        </w:rPr>
      </w:pPr>
      <w:r>
        <w:rPr>
          <w:rFonts w:ascii="Arial" w:cs="Arial" w:eastAsia="Arial" w:hAnsi="Arial"/>
          <w:sz w:val="22"/>
          <w:szCs w:val="22"/>
          <w:b w:val="1"/>
          <w:bCs w:val="1"/>
          <w:color w:val="auto"/>
        </w:rPr>
        <w:t>Date of Report (Date of earliest event reported): August 5,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422910</wp:posOffset>
            </wp:positionV>
            <wp:extent cx="711835" cy="685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83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619"/>
        <w:spacing w:after="0"/>
        <w:rPr>
          <w:sz w:val="20"/>
          <w:szCs w:val="20"/>
          <w:color w:val="auto"/>
        </w:rPr>
      </w:pPr>
      <w:r>
        <w:rPr>
          <w:rFonts w:ascii="Arial" w:cs="Arial" w:eastAsia="Arial" w:hAnsi="Arial"/>
          <w:sz w:val="43"/>
          <w:szCs w:val="43"/>
          <w:b w:val="1"/>
          <w:bCs w:val="1"/>
          <w:u w:val="single" w:color="auto"/>
          <w:color w:val="auto"/>
        </w:rPr>
        <w:t>NN,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2440" w:type="dxa"/>
            <w:vAlign w:val="bottom"/>
            <w:gridSpan w:val="2"/>
          </w:tcPr>
          <w:p>
            <w:pPr>
              <w:spacing w:after="0"/>
              <w:rPr>
                <w:sz w:val="20"/>
                <w:szCs w:val="20"/>
                <w:color w:val="auto"/>
              </w:rPr>
            </w:pPr>
          </w:p>
        </w:tc>
        <w:tc>
          <w:tcPr>
            <w:tcW w:w="780" w:type="dxa"/>
            <w:vAlign w:val="bottom"/>
          </w:tcPr>
          <w:p>
            <w:pPr>
              <w:spacing w:after="0"/>
              <w:rPr>
                <w:sz w:val="20"/>
                <w:szCs w:val="20"/>
                <w:color w:val="auto"/>
              </w:rPr>
            </w:pPr>
          </w:p>
        </w:tc>
        <w:tc>
          <w:tcPr>
            <w:tcW w:w="174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0"/>
              </w:rPr>
              <w:t>0-23486</w:t>
            </w:r>
          </w:p>
        </w:tc>
        <w:tc>
          <w:tcPr>
            <w:tcW w:w="2880" w:type="dxa"/>
            <w:vAlign w:val="bottom"/>
            <w:gridSpan w:val="5"/>
          </w:tcPr>
          <w:p>
            <w:pPr>
              <w:jc w:val="center"/>
              <w:ind w:left="1679"/>
              <w:spacing w:after="0"/>
              <w:rPr>
                <w:sz w:val="20"/>
                <w:szCs w:val="20"/>
                <w:color w:val="auto"/>
              </w:rPr>
            </w:pPr>
            <w:r>
              <w:rPr>
                <w:rFonts w:ascii="Arial" w:cs="Arial" w:eastAsia="Arial" w:hAnsi="Arial"/>
                <w:sz w:val="18"/>
                <w:szCs w:val="18"/>
                <w:b w:val="1"/>
                <w:bCs w:val="1"/>
                <w:color w:val="auto"/>
                <w:w w:val="91"/>
              </w:rPr>
              <w:t>62-1096725</w:t>
            </w:r>
          </w:p>
        </w:tc>
      </w:tr>
      <w:tr>
        <w:trPr>
          <w:trHeight w:val="20"/>
        </w:trPr>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19"/>
        </w:trPr>
        <w:tc>
          <w:tcPr>
            <w:tcW w:w="3660" w:type="dxa"/>
            <w:vAlign w:val="bottom"/>
            <w:gridSpan w:val="5"/>
          </w:tcPr>
          <w:p>
            <w:pPr>
              <w:jc w:val="center"/>
              <w:ind w:right="1960"/>
              <w:spacing w:after="0" w:line="119" w:lineRule="exact"/>
              <w:rPr>
                <w:sz w:val="20"/>
                <w:szCs w:val="20"/>
                <w:color w:val="auto"/>
              </w:rPr>
            </w:pPr>
            <w:r>
              <w:rPr>
                <w:rFonts w:ascii="Arial" w:cs="Arial" w:eastAsia="Arial" w:hAnsi="Arial"/>
                <w:sz w:val="13"/>
                <w:szCs w:val="13"/>
                <w:b w:val="1"/>
                <w:bCs w:val="1"/>
                <w:color w:val="auto"/>
              </w:rPr>
              <w:t>(State or Other Jurisdiction</w:t>
            </w:r>
          </w:p>
        </w:tc>
        <w:tc>
          <w:tcPr>
            <w:tcW w:w="252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w w:val="97"/>
              </w:rPr>
              <w:t>(Commission</w:t>
            </w:r>
          </w:p>
        </w:tc>
        <w:tc>
          <w:tcPr>
            <w:tcW w:w="1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80" w:type="dxa"/>
            <w:vAlign w:val="bottom"/>
            <w:gridSpan w:val="3"/>
          </w:tcPr>
          <w:p>
            <w:pPr>
              <w:jc w:val="center"/>
              <w:ind w:left="91"/>
              <w:spacing w:after="0" w:line="119" w:lineRule="exact"/>
              <w:rPr>
                <w:sz w:val="20"/>
                <w:szCs w:val="20"/>
                <w:color w:val="auto"/>
              </w:rPr>
            </w:pPr>
            <w:r>
              <w:rPr>
                <w:rFonts w:ascii="Arial" w:cs="Arial" w:eastAsia="Arial" w:hAnsi="Arial"/>
                <w:sz w:val="13"/>
                <w:szCs w:val="13"/>
                <w:b w:val="1"/>
                <w:bCs w:val="1"/>
                <w:color w:val="auto"/>
              </w:rPr>
              <w:t>(I.R.S. Employer</w:t>
            </w:r>
          </w:p>
        </w:tc>
      </w:tr>
      <w:tr>
        <w:trPr>
          <w:trHeight w:val="186"/>
        </w:trPr>
        <w:tc>
          <w:tcPr>
            <w:tcW w:w="3660" w:type="dxa"/>
            <w:vAlign w:val="bottom"/>
            <w:gridSpan w:val="5"/>
          </w:tcPr>
          <w:p>
            <w:pPr>
              <w:jc w:val="center"/>
              <w:ind w:right="1960"/>
              <w:spacing w:after="0"/>
              <w:rPr>
                <w:sz w:val="20"/>
                <w:szCs w:val="20"/>
                <w:color w:val="auto"/>
              </w:rPr>
            </w:pPr>
            <w:r>
              <w:rPr>
                <w:rFonts w:ascii="Arial" w:cs="Arial" w:eastAsia="Arial" w:hAnsi="Arial"/>
                <w:sz w:val="14"/>
                <w:szCs w:val="14"/>
                <w:b w:val="1"/>
                <w:bCs w:val="1"/>
                <w:color w:val="auto"/>
                <w:w w:val="94"/>
              </w:rPr>
              <w:t>of Incorporation)</w:t>
            </w:r>
          </w:p>
        </w:tc>
        <w:tc>
          <w:tcPr>
            <w:tcW w:w="25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8"/>
              </w:rPr>
              <w:t>File Number)</w:t>
            </w: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gridSpan w:val="3"/>
          </w:tcPr>
          <w:p>
            <w:pPr>
              <w:jc w:val="center"/>
              <w:ind w:left="91"/>
              <w:spacing w:after="0"/>
              <w:rPr>
                <w:sz w:val="20"/>
                <w:szCs w:val="20"/>
                <w:color w:val="auto"/>
              </w:rPr>
            </w:pPr>
            <w:r>
              <w:rPr>
                <w:rFonts w:ascii="Arial" w:cs="Arial" w:eastAsia="Arial" w:hAnsi="Arial"/>
                <w:sz w:val="14"/>
                <w:szCs w:val="14"/>
                <w:b w:val="1"/>
                <w:bCs w:val="1"/>
                <w:color w:val="auto"/>
                <w:w w:val="94"/>
              </w:rPr>
              <w:t>Identification No.)</w:t>
            </w:r>
          </w:p>
        </w:tc>
      </w:tr>
      <w:tr>
        <w:trPr>
          <w:trHeight w:val="458"/>
        </w:trPr>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207 Mockingbird Lane</w:t>
            </w: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37604</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0"/>
        </w:trPr>
        <w:tc>
          <w:tcPr>
            <w:tcW w:w="480" w:type="dxa"/>
            <w:vAlign w:val="bottom"/>
          </w:tcPr>
          <w:p>
            <w:pPr>
              <w:spacing w:after="0"/>
              <w:rPr>
                <w:sz w:val="15"/>
                <w:szCs w:val="15"/>
                <w:color w:val="auto"/>
              </w:rPr>
            </w:pPr>
          </w:p>
        </w:tc>
        <w:tc>
          <w:tcPr>
            <w:tcW w:w="31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5"/>
              </w:rPr>
              <w:t>(Zip Code)</w:t>
            </w:r>
          </w:p>
        </w:tc>
      </w:tr>
    </w:tbl>
    <w:p>
      <w:pPr>
        <w:spacing w:after="0" w:line="160"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u w:val="single" w:color="auto"/>
          <w:color w:val="auto"/>
        </w:rPr>
        <w:t>(423) 743-9151</w:t>
      </w:r>
    </w:p>
    <w:p>
      <w:pPr>
        <w:spacing w:after="0" w:line="21" w:lineRule="exact"/>
        <w:rPr>
          <w:sz w:val="24"/>
          <w:szCs w:val="24"/>
          <w:color w:val="auto"/>
        </w:rPr>
      </w:pPr>
    </w:p>
    <w:p>
      <w:pPr>
        <w:jc w:val="center"/>
        <w:ind w:right="-6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88"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On August 5, 2015, NN, Inc. (the “Company”) issued a press release announcing the Company’s results of operations and financial condition for the three months ended June 30, 2015. The full text of the press release is furnished as Exhibit 99.1 and is incorporated herein by reference.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NN, Inc. dated August 5, 2015.</w:t>
      </w:r>
    </w:p>
    <w:p>
      <w:pPr>
        <w:sectPr>
          <w:pgSz w:w="11900" w:h="16838" w:orient="portrait"/>
          <w:cols w:equalWidth="0" w:num="1">
            <w:col w:w="11160"/>
          </w:cols>
          <w:pgMar w:left="240" w:top="270" w:right="49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2015</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William C. Kelly, Jr.</w:t>
      </w:r>
    </w:p>
    <w:p>
      <w:pPr>
        <w:spacing w:after="0" w:line="23" w:lineRule="exact"/>
        <w:rPr>
          <w:sz w:val="20"/>
          <w:szCs w:val="20"/>
          <w:color w:val="auto"/>
        </w:rPr>
      </w:pPr>
    </w:p>
    <w:p>
      <w:pPr>
        <w:ind w:left="6860"/>
        <w:spacing w:after="0"/>
        <w:tabs>
          <w:tab w:leader="none" w:pos="74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-130810</wp:posOffset>
            </wp:positionV>
            <wp:extent cx="27101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Vice President and Chief Administrative Officer</w:t>
      </w:r>
    </w:p>
    <w:p>
      <w:pPr>
        <w:sectPr>
          <w:pgSz w:w="11900" w:h="16838" w:orient="portrait"/>
          <w:cols w:equalWidth="0" w:num="1">
            <w:col w:w="11220"/>
          </w:cols>
          <w:pgMar w:left="240" w:top="270" w:right="4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NN, Inc. dated August 5, 2015.</w:t>
      </w:r>
    </w:p>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172085</wp:posOffset>
            </wp:positionV>
            <wp:extent cx="2769870" cy="986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69870" cy="9861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1312545</wp:posOffset>
            </wp:positionV>
            <wp:extent cx="1955165" cy="626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5516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207 Mockingbird Lane</w:t>
      </w:r>
    </w:p>
    <w:p>
      <w:pPr>
        <w:spacing w:after="0" w:line="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Johnson City, TN 37604</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Robbie Atkinson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Corporate Treasurer &amp;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(423) 434-8398</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AT FINANCIAL RELATIONS BOARD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Marilynn Meek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212-827-3773</w:t>
      </w:r>
    </w:p>
    <w:p>
      <w:pPr>
        <w:spacing w:after="0" w:line="200" w:lineRule="exact"/>
        <w:rPr>
          <w:sz w:val="20"/>
          <w:szCs w:val="20"/>
          <w:color w:val="auto"/>
        </w:rPr>
      </w:pPr>
    </w:p>
    <w:p>
      <w:pPr>
        <w:sectPr>
          <w:pgSz w:w="11900" w:h="16838" w:orient="portrait"/>
          <w:cols w:equalWidth="0" w:num="2">
            <w:col w:w="5340" w:space="720"/>
            <w:col w:w="5360"/>
          </w:cols>
          <w:pgMar w:left="240" w:top="121" w:right="23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August 5, 2015</w:t>
      </w:r>
    </w:p>
    <w:p>
      <w:pPr>
        <w:sectPr>
          <w:pgSz w:w="11900" w:h="16838" w:orient="portrait"/>
          <w:cols w:equalWidth="0" w:num="1">
            <w:col w:w="11420"/>
          </w:cols>
          <w:pgMar w:left="240" w:top="121" w:right="239" w:bottom="1440" w:gutter="0" w:footer="0" w:header="0"/>
          <w:type w:val="continuous"/>
        </w:sect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 REPORTS SECOND QUARTER 2015 RESULTS</w:t>
      </w:r>
    </w:p>
    <w:p>
      <w:pPr>
        <w:spacing w:after="0" w:line="131" w:lineRule="exact"/>
        <w:rPr>
          <w:sz w:val="20"/>
          <w:szCs w:val="20"/>
          <w:color w:val="auto"/>
        </w:rPr>
      </w:pPr>
    </w:p>
    <w:p>
      <w:pPr>
        <w:ind w:left="660" w:hanging="20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Net sales of $164.9 million, an increase of $58.2 million</w:t>
      </w:r>
    </w:p>
    <w:p>
      <w:pPr>
        <w:spacing w:after="0" w:line="130" w:lineRule="exact"/>
        <w:rPr>
          <w:rFonts w:ascii="Arial" w:cs="Arial" w:eastAsia="Arial" w:hAnsi="Arial"/>
          <w:sz w:val="18"/>
          <w:szCs w:val="18"/>
          <w:b w:val="1"/>
          <w:bCs w:val="1"/>
          <w:color w:val="auto"/>
        </w:rPr>
      </w:pPr>
    </w:p>
    <w:p>
      <w:pPr>
        <w:ind w:left="660" w:hanging="20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Adjusted income from operations grew to $14.3 million</w:t>
      </w:r>
    </w:p>
    <w:p>
      <w:pPr>
        <w:spacing w:after="0" w:line="130" w:lineRule="exact"/>
        <w:rPr>
          <w:rFonts w:ascii="Arial" w:cs="Arial" w:eastAsia="Arial" w:hAnsi="Arial"/>
          <w:sz w:val="18"/>
          <w:szCs w:val="18"/>
          <w:b w:val="1"/>
          <w:bCs w:val="1"/>
          <w:color w:val="auto"/>
        </w:rPr>
      </w:pPr>
    </w:p>
    <w:p>
      <w:pPr>
        <w:ind w:left="660" w:hanging="20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Adjusted net income of $7.2 million, or $0.37 per diluted share</w:t>
      </w:r>
    </w:p>
    <w:p>
      <w:pPr>
        <w:spacing w:after="0" w:line="22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Johnson City, Tenn, August 5, 2015 –</w:t>
      </w:r>
      <w:r>
        <w:rPr>
          <w:rFonts w:ascii="Arial" w:cs="Arial" w:eastAsia="Arial" w:hAnsi="Arial"/>
          <w:sz w:val="18"/>
          <w:szCs w:val="18"/>
          <w:color w:val="auto"/>
        </w:rPr>
        <w:t>NN, Inc., (NASDAQ: NNBR) a diversified industrial company, today reported its financial results for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June 30, 2015.</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2015 Results</w:t>
      </w:r>
    </w:p>
    <w:p>
      <w:pPr>
        <w:spacing w:after="0" w:line="121"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Net sales for the second quarter of 2015 increased $58.2 million, or 55%, to $164.9 million, compared to $106.7 million for the second quarter of 2014. Acquisitions made subsequent to March 31, 2014 added $64.3 million in revenue. Negative currency impacts reduced reported net sales by $9.3 million versus the second quarter of last year.</w:t>
      </w:r>
    </w:p>
    <w:p>
      <w:pPr>
        <w:spacing w:after="0" w:line="181"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Adjusted income from operations for the second quarter of 2015 was $14.3 million, an increase of 51%, compared to $9.5 million for the same period in 2014. Adjusted net income, which excludes the after-tax impact of foreign exchange on inter-company loans and after-tax acquisition and integration expenses, increased to $7.2 million, or $0.37 per diluted share, compared to $6.0 million, or $0.33 per diluted share for the same period in 2014.</w:t>
      </w:r>
    </w:p>
    <w:p>
      <w:pPr>
        <w:spacing w:after="0" w:line="147"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On a GAAP basis, income from operations for the second quarter of 2015 was $13.6 million, compared to $8.2 million for the same period in 2014. Net income on a GAAP basis for the second quarter of 2015 was $7.0 million, or $0.36 per diluted share. This compared to $5.2 million, or $0.29 per diluted share, in the second quarter of 2014.</w:t>
      </w:r>
    </w:p>
    <w:p>
      <w:pPr>
        <w:sectPr>
          <w:pgSz w:w="11900" w:h="16838" w:orient="portrait"/>
          <w:cols w:equalWidth="0" w:num="1">
            <w:col w:w="11420"/>
          </w:cols>
          <w:pgMar w:left="240" w:top="121" w:right="239" w:bottom="1440" w:gutter="0" w:footer="0" w:header="0"/>
          <w:type w:val="continuous"/>
        </w:sectPr>
      </w:pPr>
    </w:p>
    <w:bookmarkStart w:id="5" w:name="page6"/>
    <w:bookmarkEnd w:id="5"/>
    <w:p>
      <w:pPr>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Richard Holder, President and Chief Executive Officer, commented, “Excluding the macro-economic challenges in Brazil our businesses along with our financial results continue to meet our expectations for the year. Our adjusted income from operations continued to improve during the quarter as the remainder of our portfolio continues to grow and hit our operating targets. The acquisitions we’ve made since 2014 remain on or ahead of our stated integration and synergy targets for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Group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Metal Bearing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Net sales for the group decreased $3.7 million to $69.3 million during the second quarter of 2015, compared to $73.0 million for second quarter 2014.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Negative currency impacts of $9.3 million were partially offset by volume increases of $3.0 million and the contribution of acquisition sales of $2.6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Income from operations for the second quarter was $9.4 million, compared to $8.7 million in the second quarter of 2014.</w:t>
      </w:r>
    </w:p>
    <w:p>
      <w:pPr>
        <w:spacing w:after="0" w:line="2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Metal Bearing Components Group continued its solid performance in 2015,” said Holder. “Excluding the negative currency impacts the business continues to grow and expand its end markets.”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Autocam Precision Components</w:t>
      </w:r>
    </w:p>
    <w:p>
      <w:pPr>
        <w:spacing w:after="0" w:line="121"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Net sales for the second quarter of 2015 were $86.5 million, compared to $25.3 million in the second quarter of 2014, an increase of $61.2 million. Acquisitions accounted for $60.9 million of the increase. Income from operations for the quarter increased $6.8 million to $9.1 million, compared to $2.3 million in the second quarter of 2014.</w:t>
      </w:r>
    </w:p>
    <w:p>
      <w:pPr>
        <w:spacing w:after="0" w:line="18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Holder commented, “The Autocam Precision Components Group performed well despite the conditions in Brazil. As expected, new customer programs continued to ramp in the quarter and began to hit their expected operating targets as the quarter came to a close, while the integration of the Autocam acquisition remains ahead of schedule.”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Plastic and Rubber Components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sales for the second quarter increased $0.7 million to $9.1 million, compared to $8.4 million for the same period in 2014. Income from operations for the quarter was $0.5 million, compared to $0.4 million in 2014.</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Holder commented, “We continue to transform our plastics business as we focus on growing a diversified business that meets our operating expectations. During the quarter we continued that process with the completion of the Caprock acquisition.”</w:t>
      </w:r>
    </w:p>
    <w:p>
      <w:pPr>
        <w:spacing w:after="0" w:line="17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Holder concluded, “The second quarter was an important quarter in the history of our company. We made our first acquisition in our plastics portfolio and raised $182 million in equity to prepare for future acquisitions and continued growth as we remain focused on executing our strategic plan.”</w:t>
      </w:r>
    </w:p>
    <w:p>
      <w:pPr>
        <w:sectPr>
          <w:pgSz w:w="11900" w:h="16838" w:orient="portrait"/>
          <w:cols w:equalWidth="0" w:num="1">
            <w:col w:w="11320"/>
          </w:cols>
          <w:pgMar w:left="240" w:top="274" w:right="339" w:bottom="1440" w:gutter="0" w:footer="0" w:header="0"/>
        </w:sectPr>
      </w:pPr>
    </w:p>
    <w:bookmarkStart w:id="6" w:name="page7"/>
    <w:bookmarkEnd w:id="6"/>
    <w:p>
      <w:pPr>
        <w:ind w:right="80" w:firstLine="8"/>
        <w:spacing w:after="0" w:line="286" w:lineRule="auto"/>
        <w:tabs>
          <w:tab w:leader="none" w:pos="305" w:val="left"/>
        </w:tabs>
        <w:numPr>
          <w:ilvl w:val="0"/>
          <w:numId w:val="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will discuss its results during its quarterly investor conference call tomorrow morning starting at 9:00 a.m. ET. The call and an accompanying slide presentation may be accessed via NN’s website. The conference call can also be accessed by dialing 888-427-9376; conference id – 5901109. For those who are unavailable to listen to the live broadcast, a replay will be available shortly after the call for 90 days.</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attached financial tables include a reconciliation of adjusted income from operations and adjusted net income to the U.S. GAAP financial measures of income from operations and net income.</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NN, Inc., a diversified industrial company manufactures and supplies high precision metal bearing components, industrial plastic and rubber products and precision metal components to a variety of markets on a global basis. Headquartered in Johnson City, Tennessee, NN has 26 manufacturing plants in the North America, Western Europe, Eastern Europe, South America and China.</w:t>
      </w:r>
    </w:p>
    <w:p>
      <w:pPr>
        <w:spacing w:after="0" w:line="177" w:lineRule="exact"/>
        <w:rPr>
          <w:sz w:val="20"/>
          <w:szCs w:val="20"/>
          <w:color w:val="auto"/>
        </w:rPr>
      </w:pPr>
    </w:p>
    <w:p>
      <w:pPr>
        <w:spacing w:after="0" w:line="242" w:lineRule="auto"/>
        <w:rPr>
          <w:sz w:val="20"/>
          <w:szCs w:val="20"/>
          <w:color w:val="auto"/>
        </w:rPr>
      </w:pPr>
      <w:r>
        <w:rPr>
          <w:rFonts w:ascii="Arial" w:cs="Arial" w:eastAsia="Arial" w:hAnsi="Arial"/>
          <w:sz w:val="13"/>
          <w:szCs w:val="13"/>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the Company’s ability to obtain required regulatory approvals or satisfy closing conditions, the costs of an acquisition and the Company’s source(s) of financing, the future performance and prospects of an acquired business, the expected benefits of an acquisition on the Company’s future business and operations and the ability of the Company to successfully integrate recently acquired businesses.</w:t>
      </w:r>
    </w:p>
    <w:p>
      <w:pPr>
        <w:spacing w:after="0" w:line="188" w:lineRule="exact"/>
        <w:rPr>
          <w:sz w:val="20"/>
          <w:szCs w:val="20"/>
          <w:color w:val="auto"/>
        </w:rPr>
      </w:pPr>
    </w:p>
    <w:p>
      <w:pPr>
        <w:ind w:right="360"/>
        <w:spacing w:after="0" w:line="264" w:lineRule="auto"/>
        <w:rPr>
          <w:sz w:val="20"/>
          <w:szCs w:val="20"/>
          <w:color w:val="auto"/>
        </w:rPr>
      </w:pPr>
      <w:r>
        <w:rPr>
          <w:rFonts w:ascii="Arial" w:cs="Arial" w:eastAsia="Arial" w:hAnsi="Arial"/>
          <w:sz w:val="13"/>
          <w:szCs w:val="13"/>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2014. Except as required by law, we undertake no obligation to update or revise any forward-looking statements we make in our press releases, whether as a result of new information, future events or otherwise.</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Financial Tables Follow</w:t>
      </w:r>
    </w:p>
    <w:p>
      <w:pPr>
        <w:sectPr>
          <w:pgSz w:w="11900" w:h="16838" w:orient="portrait"/>
          <w:cols w:equalWidth="0" w:num="1">
            <w:col w:w="11360"/>
          </w:cols>
          <w:pgMar w:left="240" w:top="274" w:right="2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3"/>
        </w:trPr>
        <w:tc>
          <w:tcPr>
            <w:tcW w:w="6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4"/>
          </w:tcPr>
          <w:p>
            <w:pPr>
              <w:jc w:val="right"/>
              <w:spacing w:after="0" w:line="153" w:lineRule="exact"/>
              <w:rPr>
                <w:sz w:val="20"/>
                <w:szCs w:val="20"/>
                <w:color w:val="auto"/>
              </w:rPr>
            </w:pPr>
            <w:r>
              <w:rPr>
                <w:rFonts w:ascii="Arial" w:cs="Arial" w:eastAsia="Arial" w:hAnsi="Arial"/>
                <w:sz w:val="14"/>
                <w:szCs w:val="14"/>
                <w:b w:val="1"/>
                <w:bCs w:val="1"/>
                <w:color w:val="auto"/>
              </w:rPr>
              <w:t>JUNE 30,</w:t>
            </w: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4"/>
          </w:tcPr>
          <w:p>
            <w:pPr>
              <w:jc w:val="right"/>
              <w:spacing w:after="0" w:line="153" w:lineRule="exact"/>
              <w:rPr>
                <w:sz w:val="20"/>
                <w:szCs w:val="20"/>
                <w:color w:val="auto"/>
              </w:rPr>
            </w:pPr>
            <w:r>
              <w:rPr>
                <w:rFonts w:ascii="Arial" w:cs="Arial" w:eastAsia="Arial" w:hAnsi="Arial"/>
                <w:sz w:val="14"/>
                <w:szCs w:val="14"/>
                <w:b w:val="1"/>
                <w:bCs w:val="1"/>
                <w:color w:val="auto"/>
              </w:rPr>
              <w:t>JUNE 30,</w:t>
            </w: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3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164,856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106,680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328,601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20" w:type="dxa"/>
            <w:vAlign w:val="bottom"/>
          </w:tcPr>
          <w:p>
            <w:pPr>
              <w:jc w:val="right"/>
              <w:ind w:right="50"/>
              <w:spacing w:after="0" w:line="201" w:lineRule="exact"/>
              <w:rPr>
                <w:sz w:val="20"/>
                <w:szCs w:val="20"/>
                <w:color w:val="auto"/>
              </w:rPr>
            </w:pPr>
            <w:r>
              <w:rPr>
                <w:rFonts w:ascii="Arial" w:cs="Arial" w:eastAsia="Arial" w:hAnsi="Arial"/>
                <w:sz w:val="18"/>
                <w:szCs w:val="18"/>
                <w:color w:val="auto"/>
              </w:rPr>
              <w:t>Cost of products sold (exclusive of depreciation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320" w:type="dxa"/>
            <w:vAlign w:val="bottom"/>
          </w:tcPr>
          <w:p>
            <w:pPr>
              <w:jc w:val="right"/>
              <w:ind w:right="50"/>
              <w:spacing w:after="0"/>
              <w:rPr>
                <w:sz w:val="20"/>
                <w:szCs w:val="20"/>
                <w:color w:val="auto"/>
              </w:rPr>
            </w:pPr>
            <w:r>
              <w:rPr>
                <w:rFonts w:ascii="Arial" w:cs="Arial" w:eastAsia="Arial" w:hAnsi="Arial"/>
                <w:sz w:val="18"/>
                <w:szCs w:val="18"/>
                <w:color w:val="auto"/>
              </w:rPr>
              <w:t>and amortization shown separately below)</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128,708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84,285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258,025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164,569</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20,104</w:t>
            </w:r>
          </w:p>
        </w:tc>
        <w:tc>
          <w:tcPr>
            <w:tcW w:w="0" w:type="dxa"/>
            <w:vAlign w:val="bottom"/>
          </w:tcPr>
          <w:p>
            <w:pPr>
              <w:spacing w:after="0"/>
              <w:rPr>
                <w:sz w:val="1"/>
                <w:szCs w:val="1"/>
                <w:color w:val="auto"/>
              </w:rPr>
            </w:pPr>
          </w:p>
        </w:tc>
      </w:tr>
      <w:tr>
        <w:trPr>
          <w:trHeight w:val="216"/>
        </w:trPr>
        <w:tc>
          <w:tcPr>
            <w:tcW w:w="6320" w:type="dxa"/>
            <w:vAlign w:val="bottom"/>
          </w:tcPr>
          <w:p>
            <w:pPr>
              <w:jc w:val="right"/>
              <w:ind w:right="5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8,597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4,084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17,091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7,961</w:t>
            </w:r>
          </w:p>
        </w:tc>
        <w:tc>
          <w:tcPr>
            <w:tcW w:w="0" w:type="dxa"/>
            <w:vAlign w:val="bottom"/>
          </w:tcPr>
          <w:p>
            <w:pPr>
              <w:spacing w:after="0"/>
              <w:rPr>
                <w:sz w:val="1"/>
                <w:szCs w:val="1"/>
                <w:color w:val="auto"/>
              </w:rPr>
            </w:pPr>
          </w:p>
        </w:tc>
      </w:tr>
      <w:tr>
        <w:trPr>
          <w:trHeight w:val="75"/>
        </w:trPr>
        <w:tc>
          <w:tcPr>
            <w:tcW w:w="6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16,574</w:t>
            </w:r>
          </w:p>
        </w:tc>
        <w:tc>
          <w:tcPr>
            <w:tcW w:w="0" w:type="dxa"/>
            <w:vAlign w:val="bottom"/>
          </w:tcPr>
          <w:p>
            <w:pPr>
              <w:spacing w:after="0"/>
              <w:rPr>
                <w:sz w:val="1"/>
                <w:szCs w:val="1"/>
                <w:color w:val="auto"/>
              </w:rPr>
            </w:pPr>
          </w:p>
        </w:tc>
      </w:tr>
      <w:tr>
        <w:trPr>
          <w:trHeight w:val="432"/>
        </w:trPr>
        <w:tc>
          <w:tcPr>
            <w:tcW w:w="6320" w:type="dxa"/>
            <w:vAlign w:val="bottom"/>
          </w:tcPr>
          <w:p>
            <w:pPr>
              <w:jc w:val="right"/>
              <w:ind w:right="5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6,021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551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11,959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6"/>
        </w:trPr>
        <w:tc>
          <w:tcPr>
            <w:tcW w:w="6320" w:type="dxa"/>
            <w:vAlign w:val="bottom"/>
          </w:tcPr>
          <w:p>
            <w:pPr>
              <w:jc w:val="right"/>
              <w:ind w:right="50"/>
              <w:spacing w:after="0"/>
              <w:rPr>
                <w:sz w:val="20"/>
                <w:szCs w:val="20"/>
                <w:color w:val="auto"/>
              </w:rPr>
            </w:pPr>
            <w:r>
              <w:rPr>
                <w:rFonts w:ascii="Arial" w:cs="Arial" w:eastAsia="Arial" w:hAnsi="Arial"/>
                <w:sz w:val="18"/>
                <w:szCs w:val="18"/>
                <w:color w:val="auto"/>
              </w:rPr>
              <w:t>Income before provision for income taxes and</w:t>
            </w: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320" w:type="dxa"/>
            <w:vAlign w:val="bottom"/>
          </w:tcPr>
          <w:p>
            <w:pPr>
              <w:jc w:val="right"/>
              <w:ind w:right="50"/>
              <w:spacing w:after="0"/>
              <w:rPr>
                <w:sz w:val="20"/>
                <w:szCs w:val="20"/>
                <w:color w:val="auto"/>
              </w:rPr>
            </w:pPr>
            <w:r>
              <w:rPr>
                <w:rFonts w:ascii="Arial" w:cs="Arial" w:eastAsia="Arial" w:hAnsi="Arial"/>
                <w:sz w:val="18"/>
                <w:szCs w:val="18"/>
                <w:color w:val="auto"/>
              </w:rPr>
              <w:t>share of net income from joint venture</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7,549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7,557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14,146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15,247</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4,809</w:t>
            </w:r>
          </w:p>
        </w:tc>
        <w:tc>
          <w:tcPr>
            <w:tcW w:w="0" w:type="dxa"/>
            <w:vAlign w:val="bottom"/>
          </w:tcPr>
          <w:p>
            <w:pPr>
              <w:spacing w:after="0"/>
              <w:rPr>
                <w:sz w:val="1"/>
                <w:szCs w:val="1"/>
                <w:color w:val="auto"/>
              </w:rPr>
            </w:pPr>
          </w:p>
        </w:tc>
      </w:tr>
      <w:tr>
        <w:trPr>
          <w:trHeight w:val="216"/>
        </w:trPr>
        <w:tc>
          <w:tcPr>
            <w:tcW w:w="6320" w:type="dxa"/>
            <w:vAlign w:val="bottom"/>
          </w:tcPr>
          <w:p>
            <w:pPr>
              <w:jc w:val="right"/>
              <w:ind w:right="50"/>
              <w:spacing w:after="0"/>
              <w:rPr>
                <w:sz w:val="20"/>
                <w:szCs w:val="20"/>
                <w:color w:val="auto"/>
              </w:rPr>
            </w:pPr>
            <w:r>
              <w:rPr>
                <w:rFonts w:ascii="Arial" w:cs="Arial" w:eastAsia="Arial" w:hAnsi="Arial"/>
                <w:sz w:val="18"/>
                <w:szCs w:val="18"/>
                <w:color w:val="auto"/>
              </w:rPr>
              <w:t>Share of net income from joint venture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6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Net income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12,955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10,438</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320" w:type="dxa"/>
            <w:vAlign w:val="bottom"/>
          </w:tcPr>
          <w:p>
            <w:pPr>
              <w:jc w:val="right"/>
              <w:ind w:right="50"/>
              <w:spacing w:after="0"/>
              <w:rPr>
                <w:sz w:val="20"/>
                <w:szCs w:val="20"/>
                <w:color w:val="auto"/>
              </w:rPr>
            </w:pPr>
            <w:r>
              <w:rPr>
                <w:rFonts w:ascii="Arial" w:cs="Arial" w:eastAsia="Arial" w:hAnsi="Arial"/>
                <w:sz w:val="18"/>
                <w:szCs w:val="18"/>
                <w:color w:val="auto"/>
              </w:rPr>
              <w:t>Basic income per common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0.29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17,700</w:t>
            </w:r>
          </w:p>
        </w:tc>
        <w:tc>
          <w:tcPr>
            <w:tcW w:w="0" w:type="dxa"/>
            <w:vAlign w:val="bottom"/>
          </w:tcPr>
          <w:p>
            <w:pPr>
              <w:spacing w:after="0"/>
              <w:rPr>
                <w:sz w:val="1"/>
                <w:szCs w:val="1"/>
                <w:color w:val="auto"/>
              </w:rPr>
            </w:pPr>
          </w:p>
        </w:tc>
      </w:tr>
      <w:tr>
        <w:trPr>
          <w:trHeight w:val="216"/>
        </w:trPr>
        <w:tc>
          <w:tcPr>
            <w:tcW w:w="6320" w:type="dxa"/>
            <w:vAlign w:val="bottom"/>
          </w:tcPr>
          <w:p>
            <w:pPr>
              <w:jc w:val="right"/>
              <w:ind w:right="50"/>
              <w:spacing w:after="0"/>
              <w:rPr>
                <w:sz w:val="20"/>
                <w:szCs w:val="20"/>
                <w:color w:val="auto"/>
              </w:rPr>
            </w:pPr>
            <w:r>
              <w:rPr>
                <w:rFonts w:ascii="Arial" w:cs="Arial" w:eastAsia="Arial" w:hAnsi="Arial"/>
                <w:sz w:val="18"/>
                <w:szCs w:val="18"/>
                <w:color w:val="auto"/>
              </w:rPr>
              <w:t>Diluted income per common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0.29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18,054</w:t>
            </w:r>
          </w:p>
        </w:tc>
        <w:tc>
          <w:tcPr>
            <w:tcW w:w="0" w:type="dxa"/>
            <w:vAlign w:val="bottom"/>
          </w:tcPr>
          <w:p>
            <w:pPr>
              <w:spacing w:after="0"/>
              <w:rPr>
                <w:sz w:val="1"/>
                <w:szCs w:val="1"/>
                <w:color w:val="auto"/>
              </w:rPr>
            </w:pPr>
          </w:p>
        </w:tc>
      </w:tr>
      <w:tr>
        <w:trPr>
          <w:trHeight w:val="230"/>
        </w:trPr>
        <w:tc>
          <w:tcPr>
            <w:tcW w:w="6320" w:type="dxa"/>
            <w:vAlign w:val="bottom"/>
          </w:tcPr>
          <w:p>
            <w:pPr>
              <w:jc w:val="right"/>
              <w:ind w:right="50"/>
              <w:spacing w:after="0"/>
              <w:rPr>
                <w:sz w:val="20"/>
                <w:szCs w:val="20"/>
                <w:color w:val="auto"/>
              </w:rPr>
            </w:pPr>
            <w:r>
              <w:rPr>
                <w:rFonts w:ascii="Arial" w:cs="Arial" w:eastAsia="Arial" w:hAnsi="Arial"/>
                <w:sz w:val="18"/>
                <w:szCs w:val="18"/>
                <w:color w:val="auto"/>
              </w:rPr>
              <w:t>Cash dividends per common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ectPr>
          <w:pgSz w:w="11900" w:h="16838" w:orient="portrait"/>
          <w:cols w:equalWidth="0" w:num="1">
            <w:col w:w="10500"/>
          </w:cols>
          <w:pgMar w:left="700" w:top="270" w:right="6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
              <w:spacing w:after="0"/>
              <w:rPr>
                <w:sz w:val="20"/>
                <w:szCs w:val="20"/>
                <w:color w:val="auto"/>
              </w:rPr>
            </w:pPr>
            <w:r>
              <w:rPr>
                <w:rFonts w:ascii="Arial" w:cs="Arial" w:eastAsia="Arial" w:hAnsi="Arial"/>
                <w:sz w:val="14"/>
                <w:szCs w:val="14"/>
                <w:b w:val="1"/>
                <w:bCs w:val="1"/>
                <w:color w:val="auto"/>
                <w:w w:val="85"/>
              </w:rPr>
              <w:t>June 30,</w:t>
            </w:r>
          </w:p>
        </w:tc>
        <w:tc>
          <w:tcPr>
            <w:tcW w:w="1520" w:type="dxa"/>
            <w:vAlign w:val="bottom"/>
            <w:gridSpan w:val="4"/>
          </w:tcPr>
          <w:p>
            <w:pPr>
              <w:ind w:lef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Current assets:</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21,409</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114,819</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87,928</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16,590</w:t>
            </w:r>
          </w:p>
        </w:tc>
        <w:tc>
          <w:tcPr>
            <w:tcW w:w="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1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240,746</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272,047</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278,442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85,436</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Intangible asset, net</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52,929</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joint venture</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19,542</w:t>
            </w:r>
          </w:p>
        </w:tc>
        <w:tc>
          <w:tcPr>
            <w:tcW w:w="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1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708,940</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80" w:type="dxa"/>
            <w:vAlign w:val="bottom"/>
            <w:gridSpan w:val="2"/>
            <w:vMerge w:val="continue"/>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63,616</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71,094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salaries, wages and benefits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Current maturities of long-term debt</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23,345</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Current portion of obligations under capital lease</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5,482</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11,481</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16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128,741</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137,598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liabilities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48,238</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335,938</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328,026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Obligations under capital lease, net of current portion</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11,829</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10,692</w:t>
            </w:r>
          </w:p>
        </w:tc>
        <w:tc>
          <w:tcPr>
            <w:tcW w:w="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1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535,438</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173,502</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173,699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1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708,940</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70"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adjusted net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00" w:type="dxa"/>
            <w:vAlign w:val="bottom"/>
            <w:gridSpan w:val="7"/>
          </w:tcPr>
          <w:p>
            <w:pPr>
              <w:jc w:val="right"/>
              <w:ind w:right="12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3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86"/>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5"/>
          </w:tcPr>
          <w:p>
            <w:pPr>
              <w:jc w:val="right"/>
              <w:ind w:right="59"/>
              <w:spacing w:after="0"/>
              <w:rPr>
                <w:sz w:val="20"/>
                <w:szCs w:val="20"/>
                <w:color w:val="auto"/>
              </w:rPr>
            </w:pPr>
            <w:r>
              <w:rPr>
                <w:rFonts w:ascii="Arial" w:cs="Arial" w:eastAsia="Arial" w:hAnsi="Arial"/>
                <w:sz w:val="14"/>
                <w:szCs w:val="14"/>
                <w:b w:val="1"/>
                <w:bCs w:val="1"/>
                <w:color w:val="auto"/>
              </w:rPr>
              <w:t>June 30, 2015</w:t>
            </w:r>
          </w:p>
        </w:tc>
        <w:tc>
          <w:tcPr>
            <w:tcW w:w="1340" w:type="dxa"/>
            <w:vAlign w:val="bottom"/>
            <w:gridSpan w:val="2"/>
            <w:vMerge w:val="restart"/>
          </w:tcPr>
          <w:p>
            <w:pPr>
              <w:jc w:val="center"/>
              <w:ind w:right="880"/>
              <w:spacing w:after="0"/>
              <w:rPr>
                <w:sz w:val="20"/>
                <w:szCs w:val="20"/>
                <w:color w:val="auto"/>
              </w:rPr>
            </w:pPr>
            <w:r>
              <w:rPr>
                <w:rFonts w:ascii="Arial" w:cs="Arial" w:eastAsia="Arial" w:hAnsi="Arial"/>
                <w:sz w:val="14"/>
                <w:szCs w:val="14"/>
                <w:b w:val="1"/>
                <w:bCs w:val="1"/>
                <w:color w:val="auto"/>
                <w:w w:val="96"/>
              </w:rPr>
              <w:t>Diluted</w:t>
            </w:r>
          </w:p>
        </w:tc>
        <w:tc>
          <w:tcPr>
            <w:tcW w:w="280" w:type="dxa"/>
            <w:vAlign w:val="bottom"/>
          </w:tcPr>
          <w:p>
            <w:pPr>
              <w:spacing w:after="0"/>
              <w:rPr>
                <w:sz w:val="16"/>
                <w:szCs w:val="16"/>
                <w:color w:val="auto"/>
              </w:rPr>
            </w:pPr>
          </w:p>
        </w:tc>
        <w:tc>
          <w:tcPr>
            <w:tcW w:w="1480" w:type="dxa"/>
            <w:vAlign w:val="bottom"/>
            <w:gridSpan w:val="4"/>
          </w:tcPr>
          <w:p>
            <w:pPr>
              <w:jc w:val="center"/>
              <w:ind w:left="396"/>
              <w:spacing w:after="0"/>
              <w:rPr>
                <w:sz w:val="20"/>
                <w:szCs w:val="20"/>
                <w:color w:val="auto"/>
              </w:rPr>
            </w:pPr>
            <w:r>
              <w:rPr>
                <w:rFonts w:ascii="Arial" w:cs="Arial" w:eastAsia="Arial" w:hAnsi="Arial"/>
                <w:sz w:val="14"/>
                <w:szCs w:val="14"/>
                <w:b w:val="1"/>
                <w:bCs w:val="1"/>
                <w:color w:val="auto"/>
                <w:w w:val="92"/>
              </w:rPr>
              <w:t>June 30, 2014</w:t>
            </w: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Diluted</w:t>
            </w:r>
          </w:p>
        </w:tc>
        <w:tc>
          <w:tcPr>
            <w:tcW w:w="0" w:type="dxa"/>
            <w:vAlign w:val="bottom"/>
          </w:tcPr>
          <w:p>
            <w:pPr>
              <w:spacing w:after="0"/>
              <w:rPr>
                <w:sz w:val="1"/>
                <w:szCs w:val="1"/>
                <w:color w:val="auto"/>
              </w:rPr>
            </w:pPr>
          </w:p>
        </w:tc>
      </w:tr>
      <w:tr>
        <w:trPr>
          <w:trHeight w:val="124"/>
        </w:trPr>
        <w:tc>
          <w:tcPr>
            <w:tcW w:w="4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5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Earnings Per</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Earnings Per</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6,953</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After tax acquisition and integration expenses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0.02</w:t>
            </w:r>
          </w:p>
        </w:tc>
        <w:tc>
          <w:tcPr>
            <w:tcW w:w="2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818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After-tax foreign exchange gain on inter-company loans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700" w:type="dxa"/>
            <w:vAlign w:val="bottom"/>
          </w:tcPr>
          <w:p>
            <w:pPr>
              <w:spacing w:after="0"/>
              <w:rPr>
                <w:sz w:val="20"/>
                <w:szCs w:val="20"/>
                <w:color w:val="auto"/>
              </w:rPr>
            </w:pPr>
            <w:r>
              <w:rPr>
                <w:rFonts w:ascii="Arial" w:cs="Arial" w:eastAsia="Arial" w:hAnsi="Arial"/>
                <w:sz w:val="18"/>
                <w:szCs w:val="18"/>
                <w:color w:val="auto"/>
              </w:rPr>
              <w:t>Adjusted Net Income</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7,157</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0.37</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6,018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net income to adjusted net income:</w:t>
            </w: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7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5"/>
          </w:tcPr>
          <w:p>
            <w:pPr>
              <w:jc w:val="right"/>
              <w:spacing w:after="0"/>
              <w:rPr>
                <w:sz w:val="20"/>
                <w:szCs w:val="20"/>
                <w:color w:val="auto"/>
              </w:rPr>
            </w:pPr>
            <w:r>
              <w:rPr>
                <w:rFonts w:ascii="Arial" w:cs="Arial" w:eastAsia="Arial" w:hAnsi="Arial"/>
                <w:sz w:val="14"/>
                <w:szCs w:val="14"/>
                <w:b w:val="1"/>
                <w:bCs w:val="1"/>
                <w:color w:val="auto"/>
              </w:rPr>
              <w:t>Six Months Ended</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86"/>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5"/>
          </w:tcPr>
          <w:p>
            <w:pPr>
              <w:jc w:val="right"/>
              <w:ind w:right="59"/>
              <w:spacing w:after="0"/>
              <w:rPr>
                <w:sz w:val="20"/>
                <w:szCs w:val="20"/>
                <w:color w:val="auto"/>
              </w:rPr>
            </w:pPr>
            <w:r>
              <w:rPr>
                <w:rFonts w:ascii="Arial" w:cs="Arial" w:eastAsia="Arial" w:hAnsi="Arial"/>
                <w:sz w:val="14"/>
                <w:szCs w:val="14"/>
                <w:b w:val="1"/>
                <w:bCs w:val="1"/>
                <w:color w:val="auto"/>
              </w:rPr>
              <w:t>June 30, 2015</w:t>
            </w:r>
          </w:p>
        </w:tc>
        <w:tc>
          <w:tcPr>
            <w:tcW w:w="1340" w:type="dxa"/>
            <w:vAlign w:val="bottom"/>
            <w:gridSpan w:val="2"/>
            <w:vMerge w:val="restart"/>
          </w:tcPr>
          <w:p>
            <w:pPr>
              <w:jc w:val="center"/>
              <w:ind w:right="880"/>
              <w:spacing w:after="0"/>
              <w:rPr>
                <w:sz w:val="20"/>
                <w:szCs w:val="20"/>
                <w:color w:val="auto"/>
              </w:rPr>
            </w:pPr>
            <w:r>
              <w:rPr>
                <w:rFonts w:ascii="Arial" w:cs="Arial" w:eastAsia="Arial" w:hAnsi="Arial"/>
                <w:sz w:val="14"/>
                <w:szCs w:val="14"/>
                <w:b w:val="1"/>
                <w:bCs w:val="1"/>
                <w:color w:val="auto"/>
                <w:w w:val="96"/>
              </w:rPr>
              <w:t>Diluted</w:t>
            </w:r>
          </w:p>
        </w:tc>
        <w:tc>
          <w:tcPr>
            <w:tcW w:w="280" w:type="dxa"/>
            <w:vAlign w:val="bottom"/>
          </w:tcPr>
          <w:p>
            <w:pPr>
              <w:spacing w:after="0"/>
              <w:rPr>
                <w:sz w:val="16"/>
                <w:szCs w:val="16"/>
                <w:color w:val="auto"/>
              </w:rPr>
            </w:pPr>
          </w:p>
        </w:tc>
        <w:tc>
          <w:tcPr>
            <w:tcW w:w="1480" w:type="dxa"/>
            <w:vAlign w:val="bottom"/>
            <w:gridSpan w:val="4"/>
          </w:tcPr>
          <w:p>
            <w:pPr>
              <w:jc w:val="center"/>
              <w:ind w:left="396"/>
              <w:spacing w:after="0"/>
              <w:rPr>
                <w:sz w:val="20"/>
                <w:szCs w:val="20"/>
                <w:color w:val="auto"/>
              </w:rPr>
            </w:pPr>
            <w:r>
              <w:rPr>
                <w:rFonts w:ascii="Arial" w:cs="Arial" w:eastAsia="Arial" w:hAnsi="Arial"/>
                <w:sz w:val="14"/>
                <w:szCs w:val="14"/>
                <w:b w:val="1"/>
                <w:bCs w:val="1"/>
                <w:color w:val="auto"/>
                <w:w w:val="92"/>
              </w:rPr>
              <w:t>June 30, 2014</w:t>
            </w: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Diluted</w:t>
            </w:r>
          </w:p>
        </w:tc>
        <w:tc>
          <w:tcPr>
            <w:tcW w:w="0" w:type="dxa"/>
            <w:vAlign w:val="bottom"/>
          </w:tcPr>
          <w:p>
            <w:pPr>
              <w:spacing w:after="0"/>
              <w:rPr>
                <w:sz w:val="1"/>
                <w:szCs w:val="1"/>
                <w:color w:val="auto"/>
              </w:rPr>
            </w:pPr>
          </w:p>
        </w:tc>
      </w:tr>
      <w:tr>
        <w:trPr>
          <w:trHeight w:val="124"/>
        </w:trPr>
        <w:tc>
          <w:tcPr>
            <w:tcW w:w="4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5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Earnings Per</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Earnings Per</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12,955</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10,438</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After tax acquisition and integration expenses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0.02</w:t>
            </w:r>
          </w:p>
        </w:tc>
        <w:tc>
          <w:tcPr>
            <w:tcW w:w="2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1,132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After-tax foreign exchange loss on inter-company loans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700" w:type="dxa"/>
            <w:vAlign w:val="bottom"/>
          </w:tcPr>
          <w:p>
            <w:pPr>
              <w:spacing w:after="0"/>
              <w:rPr>
                <w:sz w:val="20"/>
                <w:szCs w:val="20"/>
                <w:color w:val="auto"/>
              </w:rPr>
            </w:pPr>
            <w:r>
              <w:rPr>
                <w:rFonts w:ascii="Arial" w:cs="Arial" w:eastAsia="Arial" w:hAnsi="Arial"/>
                <w:sz w:val="18"/>
                <w:szCs w:val="18"/>
                <w:color w:val="auto"/>
              </w:rPr>
              <w:t>Adjusted Net Income</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14,046</w:t>
            </w:r>
          </w:p>
        </w:tc>
        <w:tc>
          <w:tcPr>
            <w:tcW w:w="320" w:type="dxa"/>
            <w:vAlign w:val="bottom"/>
          </w:tcPr>
          <w:p>
            <w:pPr>
              <w:spacing w:after="0"/>
              <w:rPr>
                <w:sz w:val="24"/>
                <w:szCs w:val="24"/>
                <w:color w:val="auto"/>
              </w:rPr>
            </w:pPr>
          </w:p>
        </w:tc>
        <w:tc>
          <w:tcPr>
            <w:tcW w:w="54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0.72</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11,570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income from operations to adjusted income from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Three Months</w:t>
            </w:r>
          </w:p>
        </w:tc>
        <w:tc>
          <w:tcPr>
            <w:tcW w:w="3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Six Months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Ended</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3"/>
              </w:rPr>
              <w:t>Ended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Ended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June 30, 2015</w:t>
            </w:r>
          </w:p>
        </w:tc>
        <w:tc>
          <w:tcPr>
            <w:tcW w:w="3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June 30, 2014</w:t>
            </w:r>
          </w:p>
        </w:tc>
        <w:tc>
          <w:tcPr>
            <w:tcW w:w="64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June 30, 2015</w:t>
            </w:r>
          </w:p>
        </w:tc>
        <w:tc>
          <w:tcPr>
            <w:tcW w:w="320" w:type="dxa"/>
            <w:vAlign w:val="bottom"/>
          </w:tcPr>
          <w:p>
            <w:pPr>
              <w:spacing w:after="0"/>
              <w:rPr>
                <w:sz w:val="12"/>
                <w:szCs w:val="12"/>
                <w:color w:val="auto"/>
              </w:rPr>
            </w:pPr>
          </w:p>
        </w:tc>
        <w:tc>
          <w:tcPr>
            <w:tcW w:w="10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June 30, 2014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(In Thousands)</w:t>
            </w:r>
          </w:p>
        </w:tc>
        <w:tc>
          <w:tcPr>
            <w:tcW w:w="640" w:type="dxa"/>
            <w:vAlign w:val="bottom"/>
          </w:tcPr>
          <w:p>
            <w:pPr>
              <w:spacing w:after="0"/>
              <w:rPr>
                <w:sz w:val="14"/>
                <w:szCs w:val="1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13,589</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8,237</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27,524</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Acquisition and integration expenses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681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from operations</w:t>
            </w:r>
          </w:p>
        </w:tc>
        <w:tc>
          <w:tcPr>
            <w:tcW w:w="120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14,270</w:t>
            </w:r>
          </w:p>
        </w:tc>
        <w:tc>
          <w:tcPr>
            <w:tcW w:w="50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28,205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500"/>
          </w:cols>
          <w:pgMar w:left="700" w:top="270" w:right="699" w:bottom="1440" w:gutter="0" w:footer="0" w:header="0"/>
        </w:sectPr>
      </w:pPr>
    </w:p>
    <w:bookmarkStart w:id="10" w:name="page11"/>
    <w:bookmarkEnd w:id="1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income from operations to adjusted income from operations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10"/>
          </w:tcPr>
          <w:p>
            <w:pPr>
              <w:jc w:val="center"/>
              <w:ind w:left="335"/>
              <w:spacing w:after="0"/>
              <w:rPr>
                <w:sz w:val="20"/>
                <w:szCs w:val="20"/>
                <w:color w:val="auto"/>
              </w:rPr>
            </w:pPr>
            <w:r>
              <w:rPr>
                <w:rFonts w:ascii="Arial" w:cs="Arial" w:eastAsia="Arial" w:hAnsi="Arial"/>
                <w:sz w:val="14"/>
                <w:szCs w:val="14"/>
                <w:b w:val="1"/>
                <w:bCs w:val="1"/>
                <w:color w:val="auto"/>
                <w:w w:val="93"/>
              </w:rPr>
              <w:t>Three Months Ended June 30, 2015</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rPr>
              <w:t>MBC</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APC</w:t>
            </w:r>
          </w:p>
        </w:tc>
        <w:tc>
          <w:tcPr>
            <w:tcW w:w="7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PRC</w:t>
            </w:r>
          </w:p>
        </w:tc>
        <w:tc>
          <w:tcPr>
            <w:tcW w:w="40" w:type="dxa"/>
            <w:vAlign w:val="bottom"/>
          </w:tcPr>
          <w:p>
            <w:pPr>
              <w:spacing w:after="0"/>
              <w:rPr>
                <w:sz w:val="14"/>
                <w:szCs w:val="1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NN Inc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9,403</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9,095</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$501</w:t>
            </w:r>
          </w:p>
        </w:tc>
        <w:tc>
          <w:tcPr>
            <w:tcW w:w="3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13,589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Acquisition and integration expenses</w:t>
            </w:r>
          </w:p>
        </w:tc>
        <w:tc>
          <w:tcPr>
            <w:tcW w:w="10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China JV Income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1,021</w:t>
            </w:r>
          </w:p>
        </w:tc>
        <w:tc>
          <w:tcPr>
            <w:tcW w:w="7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0"/>
        </w:trPr>
        <w:tc>
          <w:tcPr>
            <w:tcW w:w="70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80" w:type="dxa"/>
            <w:vAlign w:val="bottom"/>
            <w:gridSpan w:val="2"/>
          </w:tcPr>
          <w:p>
            <w:pPr>
              <w:spacing w:after="0"/>
              <w:rPr>
                <w:sz w:val="20"/>
                <w:szCs w:val="20"/>
                <w:color w:val="auto"/>
              </w:rPr>
            </w:pPr>
            <w:r>
              <w:rPr>
                <w:rFonts w:ascii="Arial" w:cs="Arial" w:eastAsia="Arial" w:hAnsi="Arial"/>
                <w:sz w:val="18"/>
                <w:szCs w:val="18"/>
                <w:color w:val="auto"/>
              </w:rPr>
              <w:t>Adjusted Income from operations Including China JV</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9,403</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10,116</w:t>
            </w:r>
          </w:p>
        </w:tc>
        <w:tc>
          <w:tcPr>
            <w:tcW w:w="720" w:type="dxa"/>
            <w:vAlign w:val="bottom"/>
            <w:gridSpan w:val="2"/>
          </w:tcPr>
          <w:p>
            <w:pPr>
              <w:jc w:val="center"/>
              <w:ind w:right="36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501</w:t>
            </w: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10"/>
          </w:tcPr>
          <w:p>
            <w:pPr>
              <w:jc w:val="center"/>
              <w:ind w:left="335"/>
              <w:spacing w:after="0"/>
              <w:rPr>
                <w:sz w:val="20"/>
                <w:szCs w:val="20"/>
                <w:color w:val="auto"/>
              </w:rPr>
            </w:pPr>
            <w:r>
              <w:rPr>
                <w:rFonts w:ascii="Arial" w:cs="Arial" w:eastAsia="Arial" w:hAnsi="Arial"/>
                <w:sz w:val="14"/>
                <w:szCs w:val="14"/>
                <w:b w:val="1"/>
                <w:bCs w:val="1"/>
                <w:color w:val="auto"/>
                <w:w w:val="93"/>
              </w:rPr>
              <w:t>Three Months Ended June 30, 2014</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rPr>
              <w:t>MBC</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APC</w:t>
            </w:r>
          </w:p>
        </w:tc>
        <w:tc>
          <w:tcPr>
            <w:tcW w:w="720" w:type="dxa"/>
            <w:vAlign w:val="bottom"/>
            <w:gridSpan w:val="2"/>
          </w:tcPr>
          <w:p>
            <w:pPr>
              <w:jc w:val="center"/>
              <w:ind w:right="360"/>
              <w:spacing w:after="0"/>
              <w:rPr>
                <w:sz w:val="20"/>
                <w:szCs w:val="20"/>
                <w:color w:val="auto"/>
              </w:rPr>
            </w:pPr>
            <w:r>
              <w:rPr>
                <w:rFonts w:ascii="Arial" w:cs="Arial" w:eastAsia="Arial" w:hAnsi="Arial"/>
                <w:sz w:val="14"/>
                <w:szCs w:val="14"/>
                <w:b w:val="1"/>
                <w:bCs w:val="1"/>
                <w:u w:val="single" w:color="auto"/>
                <w:color w:val="auto"/>
                <w:w w:val="94"/>
              </w:rPr>
              <w:t>PRC</w:t>
            </w:r>
          </w:p>
        </w:tc>
        <w:tc>
          <w:tcPr>
            <w:tcW w:w="40" w:type="dxa"/>
            <w:vAlign w:val="bottom"/>
          </w:tcPr>
          <w:p>
            <w:pPr>
              <w:spacing w:after="0"/>
              <w:rPr>
                <w:sz w:val="15"/>
                <w:szCs w:val="15"/>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NN Inc</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70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8,748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2,306</w:t>
            </w:r>
          </w:p>
        </w:tc>
        <w:tc>
          <w:tcPr>
            <w:tcW w:w="7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9"/>
              </w:rPr>
              <w:t>$414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Acquisition and integration expenses</w:t>
            </w:r>
          </w:p>
        </w:tc>
        <w:tc>
          <w:tcPr>
            <w:tcW w:w="10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0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from operations Including China JV</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8,748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2,306</w:t>
            </w:r>
          </w:p>
        </w:tc>
        <w:tc>
          <w:tcPr>
            <w:tcW w:w="7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414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9,516</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Reconciliation of income from operations to adjusted income from operations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0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MBC</w:t>
            </w:r>
          </w:p>
        </w:tc>
        <w:tc>
          <w:tcPr>
            <w:tcW w:w="20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Six Months Ended June 30, 2015</w:t>
            </w:r>
          </w:p>
        </w:tc>
        <w:tc>
          <w:tcPr>
            <w:tcW w:w="40" w:type="dxa"/>
            <w:vAlign w:val="bottom"/>
          </w:tcPr>
          <w:p>
            <w:pPr>
              <w:spacing w:after="0"/>
              <w:rPr>
                <w:sz w:val="24"/>
                <w:szCs w:val="24"/>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NN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APC</w:t>
            </w:r>
          </w:p>
        </w:tc>
        <w:tc>
          <w:tcPr>
            <w:tcW w:w="7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PRC</w:t>
            </w:r>
          </w:p>
        </w:tc>
        <w:tc>
          <w:tcPr>
            <w:tcW w:w="4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18,491</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$16,813</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$714</w:t>
            </w:r>
          </w:p>
        </w:tc>
        <w:tc>
          <w:tcPr>
            <w:tcW w:w="3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27,524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Acquisition and integration expenses</w:t>
            </w:r>
          </w:p>
        </w:tc>
        <w:tc>
          <w:tcPr>
            <w:tcW w:w="10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China JV Income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1,882</w:t>
            </w:r>
          </w:p>
        </w:tc>
        <w:tc>
          <w:tcPr>
            <w:tcW w:w="7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0"/>
        </w:trPr>
        <w:tc>
          <w:tcPr>
            <w:tcW w:w="70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80" w:type="dxa"/>
            <w:vAlign w:val="bottom"/>
            <w:gridSpan w:val="2"/>
          </w:tcPr>
          <w:p>
            <w:pPr>
              <w:spacing w:after="0"/>
              <w:rPr>
                <w:sz w:val="20"/>
                <w:szCs w:val="20"/>
                <w:color w:val="auto"/>
              </w:rPr>
            </w:pPr>
            <w:r>
              <w:rPr>
                <w:rFonts w:ascii="Arial" w:cs="Arial" w:eastAsia="Arial" w:hAnsi="Arial"/>
                <w:sz w:val="18"/>
                <w:szCs w:val="18"/>
                <w:color w:val="auto"/>
              </w:rPr>
              <w:t>Adjusted Income from operations Including China JV</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18,491</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18,695</w:t>
            </w:r>
          </w:p>
        </w:tc>
        <w:tc>
          <w:tcPr>
            <w:tcW w:w="720" w:type="dxa"/>
            <w:vAlign w:val="bottom"/>
            <w:gridSpan w:val="2"/>
          </w:tcPr>
          <w:p>
            <w:pPr>
              <w:jc w:val="center"/>
              <w:ind w:right="36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714</w:t>
            </w: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30,087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MBC</w:t>
            </w:r>
          </w:p>
        </w:tc>
        <w:tc>
          <w:tcPr>
            <w:tcW w:w="20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Six Months Ended June 30, 2014</w:t>
            </w:r>
          </w:p>
        </w:tc>
        <w:tc>
          <w:tcPr>
            <w:tcW w:w="40" w:type="dxa"/>
            <w:vAlign w:val="bottom"/>
          </w:tcPr>
          <w:p>
            <w:pPr>
              <w:spacing w:after="0"/>
              <w:rPr>
                <w:sz w:val="24"/>
                <w:szCs w:val="24"/>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NN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APC</w:t>
            </w:r>
          </w:p>
        </w:tc>
        <w:tc>
          <w:tcPr>
            <w:tcW w:w="7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PRC</w:t>
            </w:r>
          </w:p>
        </w:tc>
        <w:tc>
          <w:tcPr>
            <w:tcW w:w="4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17,520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$649</w:t>
            </w:r>
          </w:p>
        </w:tc>
        <w:tc>
          <w:tcPr>
            <w:tcW w:w="3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16,574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Acquisition and integration expenses</w:t>
            </w:r>
          </w:p>
        </w:tc>
        <w:tc>
          <w:tcPr>
            <w:tcW w:w="10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0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from operations Including China JV</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17,520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4,868</w:t>
            </w:r>
          </w:p>
        </w:tc>
        <w:tc>
          <w:tcPr>
            <w:tcW w:w="7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649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line="234" w:lineRule="auto"/>
        <w:rPr>
          <w:sz w:val="20"/>
          <w:szCs w:val="20"/>
          <w:color w:val="auto"/>
        </w:rPr>
      </w:pPr>
      <w:r>
        <w:rPr>
          <w:rFonts w:ascii="Arial" w:cs="Arial" w:eastAsia="Arial" w:hAnsi="Arial"/>
          <w:sz w:val="14"/>
          <w:szCs w:val="14"/>
          <w:color w:val="auto"/>
        </w:rPr>
        <w:t>The Company’s management evaluates operating performance excluding unusual and/or nonrecurring items. The Company believes excluding such items provides a more effective and comparable measure of performance and a clearer view of underlying trends. Since net income excluding these items is not a measure calculated in accordance with GAAP, this should not be considered as a substitute for other GAAP measures, including net income, as an indicator of performance. Accordingly, net income/loss excluding the above items is reconciled to net income/loss on a GAAP basis.</w:t>
      </w:r>
    </w:p>
    <w:sectPr>
      <w:pgSz w:w="11900" w:h="16838" w:orient="portrait"/>
      <w:cols w:equalWidth="0" w:num="1">
        <w:col w:w="11320"/>
      </w:cols>
      <w:pgMar w:left="24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upperLetter"/>
      <w:start w:val="4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2019-12-06T10:22:20Z</dcterms:created>
  <dcterms:modified xsi:type="dcterms:W3CDTF">2019-12-06T10:22:20Z</dcterms:modified>
</cp:coreProperties>
</file>