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38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198" w:lineRule="exact"/>
        <w:rPr>
          <w:sz w:val="24"/>
          <w:szCs w:val="24"/>
          <w:color w:val="auto"/>
        </w:rPr>
      </w:pPr>
    </w:p>
    <w:p>
      <w:pPr>
        <w:ind w:left="500" w:right="3219" w:hanging="499"/>
        <w:spacing w:after="0" w:line="255"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For the quarterly period ended SEPTEMBER 30, 1996</w:t>
      </w:r>
    </w:p>
    <w:p>
      <w:pPr>
        <w:spacing w:after="0" w:line="198" w:lineRule="exact"/>
        <w:rPr>
          <w:sz w:val="24"/>
          <w:szCs w:val="24"/>
          <w:color w:val="auto"/>
        </w:rPr>
      </w:pPr>
    </w:p>
    <w:p>
      <w:pPr>
        <w:ind w:left="3840"/>
        <w:spacing w:after="0"/>
        <w:rPr>
          <w:sz w:val="20"/>
          <w:szCs w:val="20"/>
          <w:color w:val="auto"/>
        </w:rPr>
      </w:pPr>
      <w:r>
        <w:rPr>
          <w:rFonts w:ascii="Courier New" w:cs="Courier New" w:eastAsia="Courier New" w:hAnsi="Courier New"/>
          <w:sz w:val="16"/>
          <w:szCs w:val="16"/>
          <w:color w:val="auto"/>
        </w:rPr>
        <w:t>OR</w:t>
      </w:r>
    </w:p>
    <w:p>
      <w:pPr>
        <w:spacing w:after="0" w:line="198" w:lineRule="exact"/>
        <w:rPr>
          <w:sz w:val="24"/>
          <w:szCs w:val="24"/>
          <w:color w:val="auto"/>
        </w:rPr>
      </w:pPr>
    </w:p>
    <w:p>
      <w:pPr>
        <w:ind w:left="400" w:right="3219" w:hanging="399"/>
        <w:spacing w:after="0" w:line="255" w:lineRule="auto"/>
        <w:tabs>
          <w:tab w:leader="none" w:pos="20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 _________ to _________</w:t>
      </w:r>
    </w:p>
    <w:p>
      <w:pPr>
        <w:spacing w:after="0" w:line="38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Commission File Number 0-23486</w:t>
      </w:r>
    </w:p>
    <w:p>
      <w:pPr>
        <w:spacing w:after="0" w:line="38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NN BALL &amp; ROLLER, INC.</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38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62-1096725</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98" w:lineRule="exact"/>
        <w:rPr>
          <w:sz w:val="24"/>
          <w:szCs w:val="24"/>
          <w:color w:val="auto"/>
        </w:rPr>
      </w:pPr>
    </w:p>
    <w:p>
      <w:pPr>
        <w:sectPr>
          <w:pgSz w:w="11900" w:h="16838" w:orient="portrait"/>
          <w:cols w:equalWidth="0" w:num="2">
            <w:col w:w="4400" w:space="720"/>
            <w:col w:w="5099"/>
          </w:cols>
          <w:pgMar w:left="240" w:top="243" w:right="1440" w:bottom="1440" w:gutter="0" w:footer="0" w:header="0"/>
          <w:type w:val="continuous"/>
        </w:sectPr>
      </w:pPr>
    </w:p>
    <w:p>
      <w:pPr>
        <w:jc w:val="center"/>
        <w:ind w:right="2339"/>
        <w:spacing w:after="0"/>
        <w:rPr>
          <w:sz w:val="20"/>
          <w:szCs w:val="20"/>
          <w:color w:val="auto"/>
        </w:rPr>
      </w:pPr>
      <w:r>
        <w:rPr>
          <w:rFonts w:ascii="Courier New" w:cs="Courier New" w:eastAsia="Courier New" w:hAnsi="Courier New"/>
          <w:sz w:val="16"/>
          <w:szCs w:val="16"/>
          <w:color w:val="auto"/>
        </w:rPr>
        <w:t>800 TENNESSEE ROAD</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ERWIN, TENNESSEE 37650</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(423) 743-9151</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 required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be filed by Section 13 or 15(d) of the Securities Exchange Act of 1934 during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preceding 12 months (or for such shorter period that the registrant was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required to file such reports), and (2) has been subject to such filing</w:t>
      </w:r>
    </w:p>
    <w:p>
      <w:pPr>
        <w:spacing w:after="0" w:line="8" w:lineRule="exact"/>
        <w:rPr>
          <w:sz w:val="24"/>
          <w:szCs w:val="24"/>
          <w:color w:val="auto"/>
        </w:rPr>
      </w:pPr>
    </w:p>
    <w:p>
      <w:pPr>
        <w:spacing w:after="0"/>
        <w:tabs>
          <w:tab w:leader="none" w:pos="4020" w:val="left"/>
          <w:tab w:leader="none" w:pos="4520" w:val="left"/>
        </w:tabs>
        <w:rPr>
          <w:sz w:val="20"/>
          <w:szCs w:val="20"/>
          <w:color w:val="auto"/>
        </w:rPr>
      </w:pPr>
      <w:r>
        <w:rPr>
          <w:rFonts w:ascii="Courier New" w:cs="Courier New" w:eastAsia="Courier New" w:hAnsi="Courier New"/>
          <w:sz w:val="16"/>
          <w:szCs w:val="16"/>
          <w:color w:val="auto"/>
        </w:rPr>
        <w:t>requirements for the past 90 days. 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8" w:lineRule="exact"/>
        <w:rPr>
          <w:sz w:val="24"/>
          <w:szCs w:val="24"/>
          <w:color w:val="auto"/>
        </w:rPr>
      </w:pPr>
    </w:p>
    <w:p>
      <w:pPr>
        <w:ind w:left="3740"/>
        <w:spacing w:after="0"/>
        <w:tabs>
          <w:tab w:leader="none" w:pos="4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88" w:lineRule="exact"/>
        <w:rPr>
          <w:sz w:val="24"/>
          <w:szCs w:val="24"/>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As of November 11, 1996 there were 14,629,242 shares of the registrant's common stock, par value $0.01 per share, outstanding.</w:t>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38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PART I. FINANCIAL INFORMATION</w:t>
      </w:r>
    </w:p>
    <w:p>
      <w:pPr>
        <w:spacing w:after="0" w:line="198" w:lineRule="exact"/>
        <w:rPr>
          <w:sz w:val="20"/>
          <w:szCs w:val="20"/>
          <w:color w:val="auto"/>
        </w:rPr>
      </w:pPr>
    </w:p>
    <w:p>
      <w:pPr>
        <w:ind w:left="2460" w:right="5720" w:firstLine="400"/>
        <w:spacing w:after="0" w:line="251" w:lineRule="auto"/>
        <w:tabs>
          <w:tab w:leader="none" w:pos="315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STATEMENTS OF INCOME</w:t>
      </w:r>
    </w:p>
    <w:p>
      <w:pPr>
        <w:ind w:left="3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060" w:type="dxa"/>
            <w:vAlign w:val="bottom"/>
            <w:gridSpan w:val="2"/>
          </w:tcPr>
          <w:p>
            <w:pPr>
              <w:jc w:val="right"/>
              <w:ind w:right="758"/>
              <w:spacing w:after="0"/>
              <w:rPr>
                <w:sz w:val="20"/>
                <w:szCs w:val="20"/>
                <w:color w:val="auto"/>
              </w:rPr>
            </w:pPr>
            <w:r>
              <w:rPr>
                <w:rFonts w:ascii="Courier New" w:cs="Courier New" w:eastAsia="Courier New" w:hAnsi="Courier New"/>
                <w:sz w:val="16"/>
                <w:szCs w:val="16"/>
                <w:color w:val="auto"/>
              </w:rPr>
              <w:t>THREE MONTHS ENDED</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ENDED</w:t>
            </w:r>
          </w:p>
        </w:tc>
      </w:tr>
      <w:tr>
        <w:trPr>
          <w:trHeight w:val="190"/>
        </w:trPr>
        <w:tc>
          <w:tcPr>
            <w:tcW w:w="4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tcPr>
          <w:p>
            <w:pPr>
              <w:jc w:val="right"/>
              <w:ind w:right="858"/>
              <w:spacing w:after="0"/>
              <w:rPr>
                <w:sz w:val="20"/>
                <w:szCs w:val="20"/>
                <w:color w:val="auto"/>
              </w:rPr>
            </w:pPr>
            <w:r>
              <w:rPr>
                <w:rFonts w:ascii="Courier New" w:cs="Courier New" w:eastAsia="Courier New" w:hAnsi="Courier New"/>
                <w:sz w:val="16"/>
                <w:szCs w:val="16"/>
                <w:color w:val="auto"/>
              </w:rPr>
              <w:t>SEPTEMBER 30,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r>
      <w:tr>
        <w:trPr>
          <w:trHeight w:val="190"/>
        </w:trPr>
        <w:tc>
          <w:tcPr>
            <w:tcW w:w="4680" w:type="dxa"/>
            <w:vAlign w:val="bottom"/>
          </w:tcPr>
          <w:p>
            <w:pPr>
              <w:spacing w:after="0"/>
              <w:rPr>
                <w:sz w:val="20"/>
                <w:szCs w:val="20"/>
                <w:color w:val="auto"/>
              </w:rPr>
            </w:pPr>
            <w:r>
              <w:rPr>
                <w:rFonts w:ascii="Courier New" w:cs="Courier New" w:eastAsia="Courier New" w:hAnsi="Courier New"/>
                <w:sz w:val="16"/>
                <w:szCs w:val="16"/>
                <w:color w:val="auto"/>
              </w:rPr>
              <w:t>THOUSANDS OF  DOLLARS, EXCEPT PER SHARE DATA</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22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1995</w:t>
            </w:r>
          </w:p>
        </w:tc>
        <w:tc>
          <w:tcPr>
            <w:tcW w:w="1980" w:type="dxa"/>
            <w:vAlign w:val="bottom"/>
          </w:tcPr>
          <w:p>
            <w:pPr>
              <w:jc w:val="right"/>
              <w:ind w:right="858"/>
              <w:spacing w:after="0"/>
              <w:rPr>
                <w:sz w:val="20"/>
                <w:szCs w:val="20"/>
                <w:color w:val="auto"/>
              </w:rPr>
            </w:pPr>
            <w:r>
              <w:rPr>
                <w:rFonts w:ascii="Courier New" w:cs="Courier New" w:eastAsia="Courier New" w:hAnsi="Courier New"/>
                <w:sz w:val="16"/>
                <w:szCs w:val="16"/>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16,558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18,940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65,477</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56,182</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10,828</w:t>
            </w:r>
          </w:p>
        </w:tc>
        <w:tc>
          <w:tcPr>
            <w:tcW w:w="3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13,346</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43,759</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39,016</w:t>
            </w:r>
          </w:p>
        </w:tc>
      </w:tr>
      <w:tr>
        <w:trPr>
          <w:trHeight w:val="190"/>
        </w:trPr>
        <w:tc>
          <w:tcPr>
            <w:tcW w:w="4340" w:type="dxa"/>
            <w:vAlign w:val="bottom"/>
          </w:tcPr>
          <w:p>
            <w:pPr>
              <w:spacing w:after="0"/>
              <w:rPr>
                <w:sz w:val="16"/>
                <w:szCs w:val="16"/>
                <w:color w:val="auto"/>
              </w:rPr>
            </w:pP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ind w:left="200"/>
              <w:spacing w:after="0"/>
              <w:rPr>
                <w:sz w:val="20"/>
                <w:szCs w:val="20"/>
                <w:color w:val="auto"/>
              </w:rPr>
            </w:pPr>
            <w:r>
              <w:rPr>
                <w:rFonts w:ascii="Courier New" w:cs="Courier New" w:eastAsia="Courier New" w:hAnsi="Courier New"/>
                <w:sz w:val="16"/>
                <w:szCs w:val="16"/>
                <w:color w:val="auto"/>
              </w:rPr>
              <w:t>Gross profit</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5,730</w:t>
            </w:r>
          </w:p>
        </w:tc>
        <w:tc>
          <w:tcPr>
            <w:tcW w:w="3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5,594</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21,718</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17,166</w:t>
            </w:r>
          </w:p>
        </w:tc>
      </w:tr>
      <w:tr>
        <w:trPr>
          <w:trHeight w:val="379"/>
        </w:trPr>
        <w:tc>
          <w:tcPr>
            <w:tcW w:w="43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500" w:type="dxa"/>
            <w:vAlign w:val="bottom"/>
          </w:tcPr>
          <w:p>
            <w:pPr>
              <w:spacing w:after="0"/>
              <w:rPr>
                <w:sz w:val="24"/>
                <w:szCs w:val="24"/>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1,263</w:t>
            </w:r>
          </w:p>
        </w:tc>
        <w:tc>
          <w:tcPr>
            <w:tcW w:w="380" w:type="dxa"/>
            <w:vAlign w:val="bottom"/>
          </w:tcPr>
          <w:p>
            <w:pPr>
              <w:spacing w:after="0"/>
              <w:rPr>
                <w:sz w:val="24"/>
                <w:szCs w:val="24"/>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1,131</w:t>
            </w:r>
          </w:p>
        </w:tc>
        <w:tc>
          <w:tcPr>
            <w:tcW w:w="440" w:type="dxa"/>
            <w:vAlign w:val="bottom"/>
          </w:tcPr>
          <w:p>
            <w:pPr>
              <w:spacing w:after="0"/>
              <w:rPr>
                <w:sz w:val="24"/>
                <w:szCs w:val="24"/>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3,527</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3,132</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826</w:t>
            </w:r>
          </w:p>
        </w:tc>
        <w:tc>
          <w:tcPr>
            <w:tcW w:w="3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525</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2,530</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1,737</w:t>
            </w:r>
          </w:p>
        </w:tc>
      </w:tr>
      <w:tr>
        <w:trPr>
          <w:trHeight w:val="190"/>
        </w:trPr>
        <w:tc>
          <w:tcPr>
            <w:tcW w:w="4340" w:type="dxa"/>
            <w:vAlign w:val="bottom"/>
          </w:tcPr>
          <w:p>
            <w:pPr>
              <w:spacing w:after="0"/>
              <w:rPr>
                <w:sz w:val="16"/>
                <w:szCs w:val="16"/>
                <w:color w:val="auto"/>
              </w:rPr>
            </w:pP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3,641</w:t>
            </w:r>
          </w:p>
        </w:tc>
        <w:tc>
          <w:tcPr>
            <w:tcW w:w="3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3,938</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15,661</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12,297</w:t>
            </w:r>
          </w:p>
        </w:tc>
      </w:tr>
      <w:tr>
        <w:trPr>
          <w:trHeight w:val="379"/>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00" w:type="dxa"/>
            <w:vAlign w:val="bottom"/>
          </w:tcPr>
          <w:p>
            <w:pPr>
              <w:spacing w:after="0"/>
              <w:rPr>
                <w:sz w:val="24"/>
                <w:szCs w:val="24"/>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87</w:t>
            </w:r>
          </w:p>
        </w:tc>
        <w:tc>
          <w:tcPr>
            <w:tcW w:w="380" w:type="dxa"/>
            <w:vAlign w:val="bottom"/>
          </w:tcPr>
          <w:p>
            <w:pPr>
              <w:spacing w:after="0"/>
              <w:rPr>
                <w:sz w:val="24"/>
                <w:szCs w:val="24"/>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w:t>
            </w:r>
          </w:p>
        </w:tc>
        <w:tc>
          <w:tcPr>
            <w:tcW w:w="440" w:type="dxa"/>
            <w:vAlign w:val="bottom"/>
          </w:tcPr>
          <w:p>
            <w:pPr>
              <w:spacing w:after="0"/>
              <w:rPr>
                <w:sz w:val="24"/>
                <w:szCs w:val="24"/>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274</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90"/>
        </w:trPr>
        <w:tc>
          <w:tcPr>
            <w:tcW w:w="4340" w:type="dxa"/>
            <w:vAlign w:val="bottom"/>
          </w:tcPr>
          <w:p>
            <w:pPr>
              <w:spacing w:after="0"/>
              <w:rPr>
                <w:sz w:val="16"/>
                <w:szCs w:val="16"/>
                <w:color w:val="auto"/>
              </w:rPr>
            </w:pP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3,554</w:t>
            </w:r>
          </w:p>
        </w:tc>
        <w:tc>
          <w:tcPr>
            <w:tcW w:w="3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3,929</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15,387</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12,285</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1,359</w:t>
            </w:r>
          </w:p>
        </w:tc>
        <w:tc>
          <w:tcPr>
            <w:tcW w:w="3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1,252</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5,440</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3,960</w:t>
            </w:r>
          </w:p>
        </w:tc>
      </w:tr>
      <w:tr>
        <w:trPr>
          <w:trHeight w:val="190"/>
        </w:trPr>
        <w:tc>
          <w:tcPr>
            <w:tcW w:w="4340" w:type="dxa"/>
            <w:vAlign w:val="bottom"/>
          </w:tcPr>
          <w:p>
            <w:pPr>
              <w:spacing w:after="0"/>
              <w:rPr>
                <w:sz w:val="16"/>
                <w:szCs w:val="16"/>
                <w:color w:val="auto"/>
              </w:rPr>
            </w:pP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ind w:left="500"/>
              <w:spacing w:after="0"/>
              <w:rPr>
                <w:sz w:val="20"/>
                <w:szCs w:val="20"/>
                <w:color w:val="auto"/>
              </w:rPr>
            </w:pPr>
            <w:r>
              <w:rPr>
                <w:rFonts w:ascii="Courier New" w:cs="Courier New" w:eastAsia="Courier New" w:hAnsi="Courier New"/>
                <w:sz w:val="16"/>
                <w:szCs w:val="16"/>
                <w:color w:val="auto"/>
              </w:rPr>
              <w:t>Net income</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2,195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2,677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9,947</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8,325</w:t>
            </w:r>
          </w:p>
        </w:tc>
      </w:tr>
      <w:tr>
        <w:trPr>
          <w:trHeight w:val="190"/>
        </w:trPr>
        <w:tc>
          <w:tcPr>
            <w:tcW w:w="4340" w:type="dxa"/>
            <w:vAlign w:val="bottom"/>
          </w:tcPr>
          <w:p>
            <w:pPr>
              <w:spacing w:after="0"/>
              <w:rPr>
                <w:sz w:val="16"/>
                <w:szCs w:val="16"/>
                <w:color w:val="auto"/>
              </w:rPr>
            </w:pP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per common share (Note 2):</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0.15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0.18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0.66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0.58</w:t>
            </w:r>
          </w:p>
        </w:tc>
      </w:tr>
      <w:tr>
        <w:trPr>
          <w:trHeight w:val="190"/>
        </w:trPr>
        <w:tc>
          <w:tcPr>
            <w:tcW w:w="4340" w:type="dxa"/>
            <w:vAlign w:val="bottom"/>
          </w:tcPr>
          <w:p>
            <w:pPr>
              <w:spacing w:after="0"/>
              <w:rPr>
                <w:sz w:val="16"/>
                <w:szCs w:val="16"/>
                <w:color w:val="auto"/>
              </w:rPr>
            </w:pP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4340" w:type="dxa"/>
            <w:vAlign w:val="bottom"/>
          </w:tcPr>
          <w:p>
            <w:pPr>
              <w:ind w:left="200"/>
              <w:spacing w:after="0"/>
              <w:rPr>
                <w:sz w:val="20"/>
                <w:szCs w:val="20"/>
                <w:color w:val="auto"/>
              </w:rPr>
            </w:pPr>
            <w:r>
              <w:rPr>
                <w:rFonts w:ascii="Courier New" w:cs="Courier New" w:eastAsia="Courier New" w:hAnsi="Courier New"/>
                <w:sz w:val="16"/>
                <w:szCs w:val="16"/>
                <w:color w:val="auto"/>
              </w:rPr>
              <w:t>shares outstanding (Note 2)</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14,961,082</w:t>
            </w:r>
          </w:p>
        </w:tc>
        <w:tc>
          <w:tcPr>
            <w:tcW w:w="380" w:type="dxa"/>
            <w:vAlign w:val="bottom"/>
          </w:tcPr>
          <w:p>
            <w:pPr>
              <w:spacing w:after="0"/>
              <w:rPr>
                <w:sz w:val="16"/>
                <w:szCs w:val="16"/>
                <w:color w:val="auto"/>
              </w:rPr>
            </w:pP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14,472,656</w:t>
            </w:r>
          </w:p>
        </w:tc>
        <w:tc>
          <w:tcPr>
            <w:tcW w:w="4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15,072,547</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14,472,656</w:t>
            </w:r>
          </w:p>
        </w:tc>
      </w:tr>
      <w:tr>
        <w:trPr>
          <w:trHeight w:val="190"/>
        </w:trPr>
        <w:tc>
          <w:tcPr>
            <w:tcW w:w="4340" w:type="dxa"/>
            <w:vAlign w:val="bottom"/>
          </w:tcPr>
          <w:p>
            <w:pPr>
              <w:spacing w:after="0"/>
              <w:rPr>
                <w:sz w:val="16"/>
                <w:szCs w:val="16"/>
                <w:color w:val="auto"/>
              </w:rPr>
            </w:pP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140"/>
          </w:cols>
          <w:pgMar w:left="240" w:top="306" w:right="51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388" w:lineRule="exact"/>
        <w:rPr>
          <w:sz w:val="20"/>
          <w:szCs w:val="20"/>
          <w:color w:val="auto"/>
        </w:rPr>
      </w:pPr>
    </w:p>
    <w:p>
      <w:pPr>
        <w:ind w:left="2760" w:right="5240" w:firstLine="100"/>
        <w:spacing w:after="0" w:line="255" w:lineRule="auto"/>
        <w:tabs>
          <w:tab w:leader="none" w:pos="315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BALANCE SHEETS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4140" w:type="dxa"/>
            <w:vAlign w:val="bottom"/>
          </w:tcPr>
          <w:p>
            <w:pPr>
              <w:jc w:val="center"/>
              <w:ind w:left="2098"/>
              <w:spacing w:after="0"/>
              <w:rPr>
                <w:sz w:val="20"/>
                <w:szCs w:val="20"/>
                <w:color w:val="auto"/>
              </w:rPr>
            </w:pPr>
            <w:r>
              <w:rPr>
                <w:rFonts w:ascii="Courier New" w:cs="Courier New" w:eastAsia="Courier New" w:hAnsi="Courier New"/>
                <w:sz w:val="16"/>
                <w:szCs w:val="16"/>
                <w:color w:val="auto"/>
              </w:rPr>
              <w:t>SEPTEMBER 30,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90"/>
        </w:trPr>
        <w:tc>
          <w:tcPr>
            <w:tcW w:w="4580" w:type="dxa"/>
            <w:vAlign w:val="bottom"/>
          </w:tcPr>
          <w:p>
            <w:pPr>
              <w:spacing w:after="0"/>
              <w:rPr>
                <w:sz w:val="16"/>
                <w:szCs w:val="16"/>
                <w:color w:val="auto"/>
              </w:rPr>
            </w:pPr>
          </w:p>
        </w:tc>
        <w:tc>
          <w:tcPr>
            <w:tcW w:w="414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1996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360" w:type="dxa"/>
            <w:vAlign w:val="bottom"/>
          </w:tcPr>
          <w:p>
            <w:pPr>
              <w:spacing w:after="0"/>
              <w:rPr>
                <w:sz w:val="16"/>
                <w:szCs w:val="16"/>
                <w:color w:val="auto"/>
              </w:rPr>
            </w:pP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4140" w:type="dxa"/>
            <w:vAlign w:val="bottom"/>
          </w:tcPr>
          <w:p>
            <w:pPr>
              <w:jc w:val="center"/>
              <w:ind w:left="2098"/>
              <w:spacing w:after="0"/>
              <w:rPr>
                <w:sz w:val="20"/>
                <w:szCs w:val="20"/>
                <w:color w:val="auto"/>
              </w:rPr>
            </w:pPr>
            <w:r>
              <w:rPr>
                <w:rFonts w:ascii="Courier New" w:cs="Courier New" w:eastAsia="Courier New" w:hAnsi="Courier New"/>
                <w:sz w:val="16"/>
                <w:szCs w:val="16"/>
                <w:color w:val="auto"/>
              </w:rPr>
              <w:t>(UNAUDITED)</w:t>
            </w: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7"/>
              </w:rPr>
              <w:t>14,665</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16,915</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Inventories, net  (Note 3)</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7"/>
              </w:rPr>
              <w:t>11,233</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9,813</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Income taxes refundable</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196</w:t>
            </w:r>
          </w:p>
        </w:tc>
        <w:tc>
          <w:tcPr>
            <w:tcW w:w="740" w:type="dxa"/>
            <w:vAlign w:val="bottom"/>
          </w:tcPr>
          <w:p>
            <w:pPr>
              <w:spacing w:after="0"/>
              <w:rPr>
                <w:sz w:val="16"/>
                <w:szCs w:val="16"/>
                <w:color w:val="auto"/>
              </w:rPr>
            </w:pPr>
          </w:p>
        </w:tc>
        <w:tc>
          <w:tcPr>
            <w:tcW w:w="8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376</w:t>
            </w:r>
          </w:p>
        </w:tc>
        <w:tc>
          <w:tcPr>
            <w:tcW w:w="740" w:type="dxa"/>
            <w:vAlign w:val="bottom"/>
          </w:tcPr>
          <w:p>
            <w:pPr>
              <w:spacing w:after="0"/>
              <w:rPr>
                <w:sz w:val="16"/>
                <w:szCs w:val="16"/>
                <w:color w:val="auto"/>
              </w:rPr>
            </w:pPr>
          </w:p>
        </w:tc>
        <w:tc>
          <w:tcPr>
            <w:tcW w:w="8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spacing w:after="0"/>
              <w:rPr>
                <w:sz w:val="16"/>
                <w:szCs w:val="16"/>
                <w:color w:val="auto"/>
              </w:rPr>
            </w:pPr>
          </w:p>
        </w:tc>
        <w:tc>
          <w:tcPr>
            <w:tcW w:w="22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Total current assets</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7"/>
              </w:rPr>
              <w:t>26,470</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26,728</w:t>
            </w:r>
          </w:p>
        </w:tc>
      </w:tr>
      <w:tr>
        <w:trPr>
          <w:trHeight w:val="379"/>
        </w:trPr>
        <w:tc>
          <w:tcPr>
            <w:tcW w:w="63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240" w:type="dxa"/>
            <w:vAlign w:val="bottom"/>
          </w:tcPr>
          <w:p>
            <w:pPr>
              <w:spacing w:after="0"/>
              <w:rPr>
                <w:sz w:val="24"/>
                <w:szCs w:val="24"/>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7"/>
              </w:rPr>
              <w:t>32,359</w:t>
            </w:r>
          </w:p>
        </w:tc>
        <w:tc>
          <w:tcPr>
            <w:tcW w:w="7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27,367</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136</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190"/>
        </w:trPr>
        <w:tc>
          <w:tcPr>
            <w:tcW w:w="6360" w:type="dxa"/>
            <w:vAlign w:val="bottom"/>
          </w:tcPr>
          <w:p>
            <w:pPr>
              <w:spacing w:after="0"/>
              <w:rPr>
                <w:sz w:val="16"/>
                <w:szCs w:val="16"/>
                <w:color w:val="auto"/>
              </w:rPr>
            </w:pPr>
          </w:p>
        </w:tc>
        <w:tc>
          <w:tcPr>
            <w:tcW w:w="22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Total assets</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7"/>
              </w:rPr>
              <w:t>58,965</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54,241</w:t>
            </w:r>
          </w:p>
        </w:tc>
      </w:tr>
      <w:tr>
        <w:trPr>
          <w:trHeight w:val="190"/>
        </w:trPr>
        <w:tc>
          <w:tcPr>
            <w:tcW w:w="6360" w:type="dxa"/>
            <w:vAlign w:val="bottom"/>
          </w:tcPr>
          <w:p>
            <w:pPr>
              <w:spacing w:after="0"/>
              <w:rPr>
                <w:sz w:val="16"/>
                <w:szCs w:val="16"/>
                <w:color w:val="auto"/>
              </w:rPr>
            </w:pPr>
          </w:p>
        </w:tc>
        <w:tc>
          <w:tcPr>
            <w:tcW w:w="22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3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 Current liabilities:</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3,917</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8,201</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Revolving credit facility</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3,242</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3,590</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Accrued vacation expense</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216</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Accrued interest expense</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27</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6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Income taxes payable</w:t>
            </w:r>
          </w:p>
        </w:tc>
        <w:tc>
          <w:tcPr>
            <w:tcW w:w="1240" w:type="dxa"/>
            <w:vAlign w:val="bottom"/>
          </w:tcPr>
          <w:p>
            <w:pPr>
              <w:spacing w:after="0"/>
              <w:rPr>
                <w:sz w:val="16"/>
                <w:szCs w:val="16"/>
                <w:color w:val="auto"/>
              </w:rPr>
            </w:pPr>
          </w:p>
        </w:tc>
        <w:tc>
          <w:tcPr>
            <w:tcW w:w="10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Other current liabilities</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2,478</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908</w:t>
            </w:r>
          </w:p>
        </w:tc>
      </w:tr>
      <w:tr>
        <w:trPr>
          <w:trHeight w:val="190"/>
        </w:trPr>
        <w:tc>
          <w:tcPr>
            <w:tcW w:w="6360" w:type="dxa"/>
            <w:vAlign w:val="bottom"/>
          </w:tcPr>
          <w:p>
            <w:pPr>
              <w:spacing w:after="0"/>
              <w:rPr>
                <w:sz w:val="16"/>
                <w:szCs w:val="16"/>
                <w:color w:val="auto"/>
              </w:rPr>
            </w:pPr>
          </w:p>
        </w:tc>
        <w:tc>
          <w:tcPr>
            <w:tcW w:w="22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Total current liabilities</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9,881</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13,303</w:t>
            </w:r>
          </w:p>
        </w:tc>
      </w:tr>
      <w:tr>
        <w:trPr>
          <w:trHeight w:val="379"/>
        </w:trPr>
        <w:tc>
          <w:tcPr>
            <w:tcW w:w="63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240" w:type="dxa"/>
            <w:vAlign w:val="bottom"/>
          </w:tcPr>
          <w:p>
            <w:pPr>
              <w:spacing w:after="0"/>
              <w:rPr>
                <w:sz w:val="24"/>
                <w:szCs w:val="24"/>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1,720</w:t>
            </w:r>
          </w:p>
        </w:tc>
        <w:tc>
          <w:tcPr>
            <w:tcW w:w="7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1,720</w:t>
            </w:r>
          </w:p>
        </w:tc>
      </w:tr>
      <w:tr>
        <w:trPr>
          <w:trHeight w:val="190"/>
        </w:trPr>
        <w:tc>
          <w:tcPr>
            <w:tcW w:w="6360" w:type="dxa"/>
            <w:vAlign w:val="bottom"/>
          </w:tcPr>
          <w:p>
            <w:pPr>
              <w:spacing w:after="0"/>
              <w:rPr>
                <w:sz w:val="16"/>
                <w:szCs w:val="16"/>
                <w:color w:val="auto"/>
              </w:rPr>
            </w:pPr>
          </w:p>
        </w:tc>
        <w:tc>
          <w:tcPr>
            <w:tcW w:w="22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Total liabilities</w:t>
            </w:r>
          </w:p>
        </w:tc>
        <w:tc>
          <w:tcPr>
            <w:tcW w:w="12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7"/>
              </w:rPr>
              <w:t>11,601</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15,023</w:t>
            </w:r>
          </w:p>
        </w:tc>
      </w:tr>
      <w:tr>
        <w:trPr>
          <w:trHeight w:val="379"/>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Total stockholders' equity</w:t>
            </w:r>
          </w:p>
        </w:tc>
        <w:tc>
          <w:tcPr>
            <w:tcW w:w="1240" w:type="dxa"/>
            <w:vAlign w:val="bottom"/>
          </w:tcPr>
          <w:p>
            <w:pPr>
              <w:spacing w:after="0"/>
              <w:rPr>
                <w:sz w:val="24"/>
                <w:szCs w:val="24"/>
                <w:color w:val="auto"/>
              </w:rPr>
            </w:pP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7"/>
              </w:rPr>
              <w:t>47,364</w:t>
            </w:r>
          </w:p>
        </w:tc>
        <w:tc>
          <w:tcPr>
            <w:tcW w:w="7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39,218</w:t>
            </w:r>
          </w:p>
        </w:tc>
      </w:tr>
      <w:tr>
        <w:trPr>
          <w:trHeight w:val="190"/>
        </w:trPr>
        <w:tc>
          <w:tcPr>
            <w:tcW w:w="6360" w:type="dxa"/>
            <w:vAlign w:val="bottom"/>
          </w:tcPr>
          <w:p>
            <w:pPr>
              <w:spacing w:after="0"/>
              <w:rPr>
                <w:sz w:val="16"/>
                <w:szCs w:val="16"/>
                <w:color w:val="auto"/>
              </w:rPr>
            </w:pPr>
          </w:p>
        </w:tc>
        <w:tc>
          <w:tcPr>
            <w:tcW w:w="22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7"/>
              </w:rPr>
              <w:t>58,965</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54,241</w:t>
            </w:r>
          </w:p>
        </w:tc>
      </w:tr>
      <w:tr>
        <w:trPr>
          <w:trHeight w:val="190"/>
        </w:trPr>
        <w:tc>
          <w:tcPr>
            <w:tcW w:w="6360" w:type="dxa"/>
            <w:vAlign w:val="bottom"/>
          </w:tcPr>
          <w:p>
            <w:pPr>
              <w:spacing w:after="0"/>
              <w:rPr>
                <w:sz w:val="16"/>
                <w:szCs w:val="16"/>
                <w:color w:val="auto"/>
              </w:rPr>
            </w:pPr>
          </w:p>
        </w:tc>
        <w:tc>
          <w:tcPr>
            <w:tcW w:w="22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60"/>
          </w:cols>
          <w:pgMar w:left="240" w:top="306" w:right="129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388"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NN BALL &amp; ROLLER, INC.</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77" w:lineRule="exact"/>
        <w:rPr>
          <w:sz w:val="20"/>
          <w:szCs w:val="20"/>
          <w:color w:val="auto"/>
        </w:rPr>
      </w:pPr>
    </w:p>
    <w:p>
      <w:pPr>
        <w:ind w:left="4840"/>
        <w:spacing w:after="0"/>
        <w:tabs>
          <w:tab w:leader="none" w:pos="6980" w:val="left"/>
          <w:tab w:leader="none" w:pos="846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ADDITIONAL</w:t>
      </w:r>
      <w:r>
        <w:rPr>
          <w:sz w:val="20"/>
          <w:szCs w:val="20"/>
          <w:color w:val="auto"/>
        </w:rPr>
        <w:tab/>
      </w:r>
      <w:r>
        <w:rPr>
          <w:rFonts w:ascii="Courier New" w:cs="Courier New" w:eastAsia="Courier New" w:hAnsi="Courier New"/>
          <w:sz w:val="16"/>
          <w:szCs w:val="16"/>
          <w:color w:val="auto"/>
        </w:rPr>
        <w:t>RETAINED</w:t>
      </w:r>
    </w:p>
    <w:p>
      <w:pPr>
        <w:spacing w:after="0" w:line="8" w:lineRule="exact"/>
        <w:rPr>
          <w:sz w:val="20"/>
          <w:szCs w:val="20"/>
          <w:color w:val="auto"/>
        </w:rPr>
      </w:pPr>
    </w:p>
    <w:p>
      <w:pPr>
        <w:ind w:left="4540"/>
        <w:spacing w:after="0"/>
        <w:tabs>
          <w:tab w:leader="none" w:pos="6000" w:val="left"/>
          <w:tab w:leader="none" w:pos="7080" w:val="left"/>
          <w:tab w:leader="none" w:pos="846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PAR</w:t>
      </w:r>
      <w:r>
        <w:rPr>
          <w:sz w:val="20"/>
          <w:szCs w:val="20"/>
          <w:color w:val="auto"/>
        </w:rPr>
        <w:tab/>
      </w:r>
      <w:r>
        <w:rPr>
          <w:rFonts w:ascii="Courier New" w:cs="Courier New" w:eastAsia="Courier New" w:hAnsi="Courier New"/>
          <w:sz w:val="16"/>
          <w:szCs w:val="16"/>
          <w:color w:val="auto"/>
        </w:rPr>
        <w:t>PAID-IN</w:t>
      </w:r>
      <w:r>
        <w:rPr>
          <w:sz w:val="20"/>
          <w:szCs w:val="20"/>
          <w:color w:val="auto"/>
        </w:rPr>
        <w:tab/>
      </w:r>
      <w:r>
        <w:rPr>
          <w:rFonts w:ascii="Courier New" w:cs="Courier New" w:eastAsia="Courier New" w:hAnsi="Courier New"/>
          <w:sz w:val="16"/>
          <w:szCs w:val="16"/>
          <w:color w:val="auto"/>
        </w:rPr>
        <w:t>EARNINGS</w:t>
      </w:r>
    </w:p>
    <w:p>
      <w:pPr>
        <w:spacing w:after="0" w:line="8" w:lineRule="exact"/>
        <w:rPr>
          <w:sz w:val="20"/>
          <w:szCs w:val="20"/>
          <w:color w:val="auto"/>
        </w:rPr>
      </w:pPr>
    </w:p>
    <w:p>
      <w:pPr>
        <w:spacing w:after="0"/>
        <w:tabs>
          <w:tab w:leader="none" w:pos="1360" w:val="left"/>
          <w:tab w:leader="none" w:pos="4420" w:val="left"/>
          <w:tab w:leader="none" w:pos="5900" w:val="left"/>
          <w:tab w:leader="none" w:pos="7080" w:val="left"/>
          <w:tab w:leader="none" w:pos="8460" w:val="left"/>
          <w:tab w:leader="none" w:pos="10140" w:val="left"/>
        </w:tabs>
        <w:rPr>
          <w:sz w:val="20"/>
          <w:szCs w:val="20"/>
          <w:color w:val="auto"/>
        </w:rPr>
      </w:pPr>
      <w:r>
        <w:rPr>
          <w:rFonts w:ascii="Courier New" w:cs="Courier New" w:eastAsia="Courier New" w:hAnsi="Courier New"/>
          <w:sz w:val="16"/>
          <w:szCs w:val="16"/>
          <w:color w:val="auto"/>
        </w:rPr>
        <w:t>THOUSANDS OF</w:t>
        <w:tab/>
        <w:t>DOLLARS, EXCEPT SHARE DATA</w:t>
      </w:r>
      <w:r>
        <w:rPr>
          <w:sz w:val="20"/>
          <w:szCs w:val="20"/>
          <w:color w:val="auto"/>
        </w:rPr>
        <w:tab/>
      </w:r>
      <w:r>
        <w:rPr>
          <w:rFonts w:ascii="Courier New" w:cs="Courier New" w:eastAsia="Courier New" w:hAnsi="Courier New"/>
          <w:sz w:val="16"/>
          <w:szCs w:val="16"/>
          <w:color w:val="auto"/>
        </w:rPr>
        <w:t>OF SHARES</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CAPITAL</w:t>
      </w:r>
      <w:r>
        <w:rPr>
          <w:sz w:val="20"/>
          <w:szCs w:val="20"/>
          <w:color w:val="auto"/>
        </w:rPr>
        <w:tab/>
      </w:r>
      <w:r>
        <w:rPr>
          <w:rFonts w:ascii="Courier New" w:cs="Courier New" w:eastAsia="Courier New" w:hAnsi="Courier New"/>
          <w:sz w:val="16"/>
          <w:szCs w:val="16"/>
          <w:color w:val="auto"/>
        </w:rPr>
        <w:t>(DEFICIT)</w:t>
      </w:r>
      <w:r>
        <w:rPr>
          <w:sz w:val="20"/>
          <w:szCs w:val="20"/>
          <w:color w:val="auto"/>
        </w:rPr>
        <w:tab/>
      </w:r>
      <w:r>
        <w:rPr>
          <w:rFonts w:ascii="Courier New" w:cs="Courier New" w:eastAsia="Courier New" w:hAnsi="Courier New"/>
          <w:sz w:val="16"/>
          <w:szCs w:val="16"/>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January 1, 1995</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6,432</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64</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$ 25,289</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5,184</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30,537</w:t>
            </w:r>
          </w:p>
        </w:tc>
      </w:tr>
      <w:tr>
        <w:trPr>
          <w:trHeight w:val="190"/>
        </w:trPr>
        <w:tc>
          <w:tcPr>
            <w:tcW w:w="41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Net income</w:t>
            </w: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8,325</w:t>
            </w:r>
          </w:p>
        </w:tc>
        <w:tc>
          <w:tcPr>
            <w:tcW w:w="40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8,325</w:t>
            </w:r>
          </w:p>
        </w:tc>
      </w:tr>
      <w:tr>
        <w:trPr>
          <w:trHeight w:val="190"/>
        </w:trPr>
        <w:tc>
          <w:tcPr>
            <w:tcW w:w="41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Dividends</w:t>
            </w: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(2,830)</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(2,830)</w:t>
            </w:r>
          </w:p>
        </w:tc>
      </w:tr>
      <w:tr>
        <w:trPr>
          <w:trHeight w:val="190"/>
        </w:trPr>
        <w:tc>
          <w:tcPr>
            <w:tcW w:w="41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Three-for-two stock split (Note 2)</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3,216</w:t>
            </w:r>
          </w:p>
        </w:tc>
        <w:tc>
          <w:tcPr>
            <w:tcW w:w="540" w:type="dxa"/>
            <w:vAlign w:val="bottom"/>
          </w:tcPr>
          <w:p>
            <w:pPr>
              <w:spacing w:after="0"/>
              <w:rPr>
                <w:sz w:val="16"/>
                <w:szCs w:val="16"/>
                <w:color w:val="auto"/>
              </w:rPr>
            </w:pPr>
          </w:p>
        </w:tc>
        <w:tc>
          <w:tcPr>
            <w:tcW w:w="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w:t>
            </w:r>
          </w:p>
        </w:tc>
        <w:tc>
          <w:tcPr>
            <w:tcW w:w="14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w:t>
            </w:r>
          </w:p>
        </w:tc>
        <w:tc>
          <w:tcPr>
            <w:tcW w:w="400" w:type="dxa"/>
            <w:vAlign w:val="bottom"/>
          </w:tcPr>
          <w:p>
            <w:pPr>
              <w:spacing w:after="0"/>
              <w:rPr>
                <w:sz w:val="16"/>
                <w:szCs w:val="16"/>
                <w:color w:val="auto"/>
              </w:rPr>
            </w:pPr>
          </w:p>
        </w:tc>
        <w:tc>
          <w:tcPr>
            <w:tcW w:w="7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84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September 30, 1995</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9,648</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96</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$ 25,289</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10,647</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36,032</w:t>
            </w:r>
          </w:p>
        </w:tc>
      </w:tr>
      <w:tr>
        <w:trPr>
          <w:trHeight w:val="190"/>
        </w:trPr>
        <w:tc>
          <w:tcPr>
            <w:tcW w:w="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84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January 1, 1996</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14,473</w:t>
            </w:r>
          </w:p>
        </w:tc>
        <w:tc>
          <w:tcPr>
            <w:tcW w:w="12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$ 144</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$ 25,289</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13,785</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39,218</w:t>
            </w:r>
          </w:p>
        </w:tc>
      </w:tr>
      <w:tr>
        <w:trPr>
          <w:trHeight w:val="190"/>
        </w:trPr>
        <w:tc>
          <w:tcPr>
            <w:tcW w:w="41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Net income</w:t>
            </w: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9,947</w:t>
            </w:r>
          </w:p>
        </w:tc>
        <w:tc>
          <w:tcPr>
            <w:tcW w:w="40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9,947</w:t>
            </w:r>
          </w:p>
        </w:tc>
      </w:tr>
      <w:tr>
        <w:trPr>
          <w:trHeight w:val="190"/>
        </w:trPr>
        <w:tc>
          <w:tcPr>
            <w:tcW w:w="41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Dividends</w:t>
            </w: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(3,497)</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(3,497)</w:t>
            </w:r>
          </w:p>
        </w:tc>
      </w:tr>
      <w:tr>
        <w:trPr>
          <w:trHeight w:val="190"/>
        </w:trPr>
        <w:tc>
          <w:tcPr>
            <w:tcW w:w="840" w:type="dxa"/>
            <w:vAlign w:val="bottom"/>
          </w:tcPr>
          <w:p>
            <w:pPr>
              <w:ind w:left="300"/>
              <w:spacing w:after="0"/>
              <w:rPr>
                <w:sz w:val="20"/>
                <w:szCs w:val="20"/>
                <w:color w:val="auto"/>
              </w:rPr>
            </w:pPr>
            <w:r>
              <w:rPr>
                <w:rFonts w:ascii="Courier New" w:cs="Courier New" w:eastAsia="Courier New" w:hAnsi="Courier New"/>
                <w:sz w:val="16"/>
                <w:szCs w:val="16"/>
                <w:color w:val="auto"/>
              </w:rPr>
              <w:t>Stock</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options exercised (Note 4)</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156</w:t>
            </w:r>
          </w:p>
        </w:tc>
        <w:tc>
          <w:tcPr>
            <w:tcW w:w="540" w:type="dxa"/>
            <w:vAlign w:val="bottom"/>
          </w:tcPr>
          <w:p>
            <w:pPr>
              <w:spacing w:after="0"/>
              <w:rPr>
                <w:sz w:val="16"/>
                <w:szCs w:val="16"/>
                <w:color w:val="auto"/>
              </w:rPr>
            </w:pPr>
          </w:p>
        </w:tc>
        <w:tc>
          <w:tcPr>
            <w:tcW w:w="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1,694</w:t>
            </w:r>
          </w:p>
        </w:tc>
        <w:tc>
          <w:tcPr>
            <w:tcW w:w="500" w:type="dxa"/>
            <w:vAlign w:val="bottom"/>
          </w:tcPr>
          <w:p>
            <w:pPr>
              <w:spacing w:after="0"/>
              <w:rPr>
                <w:sz w:val="16"/>
                <w:szCs w:val="16"/>
                <w:color w:val="auto"/>
              </w:rPr>
            </w:pPr>
          </w:p>
        </w:tc>
        <w:tc>
          <w:tcPr>
            <w:tcW w:w="9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1,696</w:t>
            </w:r>
          </w:p>
        </w:tc>
      </w:tr>
      <w:tr>
        <w:trPr>
          <w:trHeight w:val="190"/>
        </w:trPr>
        <w:tc>
          <w:tcPr>
            <w:tcW w:w="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84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September 30, 1996</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14,629</w:t>
            </w:r>
          </w:p>
        </w:tc>
        <w:tc>
          <w:tcPr>
            <w:tcW w:w="12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$ 146</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$ 26,983</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20,235</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47,364</w:t>
            </w:r>
          </w:p>
        </w:tc>
      </w:tr>
      <w:tr>
        <w:trPr>
          <w:trHeight w:val="190"/>
        </w:trPr>
        <w:tc>
          <w:tcPr>
            <w:tcW w:w="8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1140"/>
          </w:cols>
          <w:pgMar w:left="240" w:top="306" w:right="51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388" w:lineRule="exact"/>
        <w:rPr>
          <w:sz w:val="20"/>
          <w:szCs w:val="20"/>
          <w:color w:val="auto"/>
        </w:rPr>
      </w:pPr>
    </w:p>
    <w:p>
      <w:pPr>
        <w:ind w:left="2260" w:right="4740" w:firstLine="600"/>
        <w:spacing w:after="0" w:line="251" w:lineRule="auto"/>
        <w:tabs>
          <w:tab w:leader="none" w:pos="314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STATEMENTS OF CASH FLOWS</w:t>
      </w:r>
    </w:p>
    <w:p>
      <w:pPr>
        <w:ind w:left="3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77" w:lineRule="exact"/>
        <w:rPr>
          <w:sz w:val="20"/>
          <w:szCs w:val="20"/>
          <w:color w:val="auto"/>
        </w:rPr>
      </w:pPr>
    </w:p>
    <w:p>
      <w:pPr>
        <w:ind w:left="7780"/>
        <w:spacing w:after="0"/>
        <w:rPr>
          <w:sz w:val="20"/>
          <w:szCs w:val="20"/>
          <w:color w:val="auto"/>
        </w:rPr>
      </w:pPr>
      <w:r>
        <w:rPr>
          <w:rFonts w:ascii="Courier New" w:cs="Courier New" w:eastAsia="Courier New" w:hAnsi="Courier New"/>
          <w:sz w:val="16"/>
          <w:szCs w:val="16"/>
          <w:color w:val="auto"/>
        </w:rPr>
        <w:t>NINE MONTHS ENDED</w:t>
      </w:r>
    </w:p>
    <w:p>
      <w:pPr>
        <w:spacing w:after="0" w:line="8" w:lineRule="exact"/>
        <w:rPr>
          <w:sz w:val="20"/>
          <w:szCs w:val="20"/>
          <w:color w:val="auto"/>
        </w:rPr>
      </w:pPr>
    </w:p>
    <w:p>
      <w:pPr>
        <w:ind w:left="8080"/>
        <w:spacing w:after="0"/>
        <w:rPr>
          <w:sz w:val="20"/>
          <w:szCs w:val="20"/>
          <w:color w:val="auto"/>
        </w:rPr>
      </w:pPr>
      <w:r>
        <w:rPr>
          <w:rFonts w:ascii="Courier New" w:cs="Courier New" w:eastAsia="Courier New" w:hAnsi="Courier New"/>
          <w:sz w:val="16"/>
          <w:szCs w:val="16"/>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38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spacing w:after="0" w:line="5"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ACTIVITIES: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9,947</w:t>
            </w:r>
          </w:p>
        </w:tc>
        <w:tc>
          <w:tcPr>
            <w:tcW w:w="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8,325</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w:t>
            </w: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360" w:type="dxa"/>
            <w:vAlign w:val="bottom"/>
          </w:tcPr>
          <w:p>
            <w:pPr>
              <w:ind w:left="400"/>
              <w:spacing w:after="0"/>
              <w:rPr>
                <w:sz w:val="20"/>
                <w:szCs w:val="20"/>
                <w:color w:val="auto"/>
              </w:rPr>
            </w:pPr>
            <w:r>
              <w:rPr>
                <w:rFonts w:ascii="Courier New" w:cs="Courier New" w:eastAsia="Courier New" w:hAnsi="Courier New"/>
                <w:sz w:val="16"/>
                <w:szCs w:val="16"/>
                <w:color w:val="auto"/>
              </w:rPr>
              <w:t>Depreciation</w:t>
            </w:r>
          </w:p>
        </w:tc>
        <w:tc>
          <w:tcPr>
            <w:tcW w:w="1040" w:type="dxa"/>
            <w:vAlign w:val="bottom"/>
          </w:tcPr>
          <w:p>
            <w:pPr>
              <w:spacing w:after="0"/>
              <w:rPr>
                <w:sz w:val="16"/>
                <w:szCs w:val="16"/>
                <w:color w:val="auto"/>
              </w:rPr>
            </w:pP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2,530</w:t>
            </w:r>
          </w:p>
        </w:tc>
        <w:tc>
          <w:tcPr>
            <w:tcW w:w="6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1,737</w:t>
            </w:r>
          </w:p>
        </w:tc>
      </w:tr>
      <w:tr>
        <w:trPr>
          <w:trHeight w:val="190"/>
        </w:trPr>
        <w:tc>
          <w:tcPr>
            <w:tcW w:w="6360" w:type="dxa"/>
            <w:vAlign w:val="bottom"/>
          </w:tcPr>
          <w:p>
            <w:pPr>
              <w:ind w:left="4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360" w:type="dxa"/>
            <w:vAlign w:val="bottom"/>
          </w:tcPr>
          <w:p>
            <w:pPr>
              <w:ind w:left="600"/>
              <w:spacing w:after="0"/>
              <w:rPr>
                <w:sz w:val="20"/>
                <w:szCs w:val="20"/>
                <w:color w:val="auto"/>
              </w:rPr>
            </w:pPr>
            <w:r>
              <w:rPr>
                <w:rFonts w:ascii="Courier New" w:cs="Courier New" w:eastAsia="Courier New" w:hAnsi="Courier New"/>
                <w:sz w:val="16"/>
                <w:szCs w:val="16"/>
                <w:color w:val="auto"/>
              </w:rPr>
              <w:t>Accounts receivable</w:t>
            </w:r>
          </w:p>
        </w:tc>
        <w:tc>
          <w:tcPr>
            <w:tcW w:w="1040" w:type="dxa"/>
            <w:vAlign w:val="bottom"/>
          </w:tcPr>
          <w:p>
            <w:pPr>
              <w:spacing w:after="0"/>
              <w:rPr>
                <w:sz w:val="16"/>
                <w:szCs w:val="16"/>
                <w:color w:val="auto"/>
              </w:rPr>
            </w:pP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2,250</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(3,711)</w:t>
            </w:r>
          </w:p>
        </w:tc>
      </w:tr>
      <w:tr>
        <w:trPr>
          <w:trHeight w:val="190"/>
        </w:trPr>
        <w:tc>
          <w:tcPr>
            <w:tcW w:w="6360" w:type="dxa"/>
            <w:vAlign w:val="bottom"/>
          </w:tcPr>
          <w:p>
            <w:pPr>
              <w:ind w:left="600"/>
              <w:spacing w:after="0"/>
              <w:rPr>
                <w:sz w:val="20"/>
                <w:szCs w:val="20"/>
                <w:color w:val="auto"/>
              </w:rPr>
            </w:pPr>
            <w:r>
              <w:rPr>
                <w:rFonts w:ascii="Courier New" w:cs="Courier New" w:eastAsia="Courier New" w:hAnsi="Courier New"/>
                <w:sz w:val="16"/>
                <w:szCs w:val="16"/>
                <w:color w:val="auto"/>
              </w:rPr>
              <w:t>Inventories</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(1,420)</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(1,650)</w:t>
            </w:r>
          </w:p>
        </w:tc>
      </w:tr>
      <w:tr>
        <w:trPr>
          <w:trHeight w:val="190"/>
        </w:trPr>
        <w:tc>
          <w:tcPr>
            <w:tcW w:w="6360" w:type="dxa"/>
            <w:vAlign w:val="bottom"/>
          </w:tcPr>
          <w:p>
            <w:pPr>
              <w:ind w:left="600"/>
              <w:spacing w:after="0"/>
              <w:rPr>
                <w:sz w:val="20"/>
                <w:szCs w:val="20"/>
                <w:color w:val="auto"/>
              </w:rPr>
            </w:pPr>
            <w:r>
              <w:rPr>
                <w:rFonts w:ascii="Courier New" w:cs="Courier New" w:eastAsia="Courier New" w:hAnsi="Courier New"/>
                <w:sz w:val="16"/>
                <w:szCs w:val="16"/>
                <w:color w:val="auto"/>
              </w:rPr>
              <w:t>Taxes refundable</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(196)</w:t>
            </w:r>
          </w:p>
        </w:tc>
        <w:tc>
          <w:tcPr>
            <w:tcW w:w="6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600"/>
              <w:spacing w:after="0"/>
              <w:rPr>
                <w:sz w:val="20"/>
                <w:szCs w:val="20"/>
                <w:color w:val="auto"/>
              </w:rPr>
            </w:pPr>
            <w:r>
              <w:rPr>
                <w:rFonts w:ascii="Courier New" w:cs="Courier New" w:eastAsia="Courier New" w:hAnsi="Courier New"/>
                <w:sz w:val="16"/>
                <w:szCs w:val="16"/>
                <w:color w:val="auto"/>
              </w:rPr>
              <w:t>Other current assets</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(376)</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(236)</w:t>
            </w:r>
          </w:p>
        </w:tc>
      </w:tr>
      <w:tr>
        <w:trPr>
          <w:trHeight w:val="190"/>
        </w:trPr>
        <w:tc>
          <w:tcPr>
            <w:tcW w:w="6360" w:type="dxa"/>
            <w:vAlign w:val="bottom"/>
          </w:tcPr>
          <w:p>
            <w:pPr>
              <w:ind w:left="600"/>
              <w:spacing w:after="0"/>
              <w:rPr>
                <w:sz w:val="20"/>
                <w:szCs w:val="20"/>
                <w:color w:val="auto"/>
              </w:rPr>
            </w:pPr>
            <w:r>
              <w:rPr>
                <w:rFonts w:ascii="Courier New" w:cs="Courier New" w:eastAsia="Courier New" w:hAnsi="Courier New"/>
                <w:sz w:val="16"/>
                <w:szCs w:val="16"/>
                <w:color w:val="auto"/>
              </w:rPr>
              <w:t>Accounts payable</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(4,284)</w:t>
            </w:r>
          </w:p>
        </w:tc>
        <w:tc>
          <w:tcPr>
            <w:tcW w:w="6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1,214</w:t>
            </w:r>
          </w:p>
        </w:tc>
      </w:tr>
      <w:tr>
        <w:trPr>
          <w:trHeight w:val="190"/>
        </w:trPr>
        <w:tc>
          <w:tcPr>
            <w:tcW w:w="6360" w:type="dxa"/>
            <w:vAlign w:val="bottom"/>
          </w:tcPr>
          <w:p>
            <w:pPr>
              <w:ind w:left="600"/>
              <w:spacing w:after="0"/>
              <w:rPr>
                <w:sz w:val="20"/>
                <w:szCs w:val="20"/>
                <w:color w:val="auto"/>
              </w:rPr>
            </w:pPr>
            <w:r>
              <w:rPr>
                <w:rFonts w:ascii="Courier New" w:cs="Courier New" w:eastAsia="Courier New" w:hAnsi="Courier New"/>
                <w:sz w:val="16"/>
                <w:szCs w:val="16"/>
                <w:color w:val="auto"/>
              </w:rPr>
              <w:t>Other liabilities</w:t>
            </w:r>
          </w:p>
        </w:tc>
        <w:tc>
          <w:tcPr>
            <w:tcW w:w="1040" w:type="dxa"/>
            <w:vAlign w:val="bottom"/>
          </w:tcPr>
          <w:p>
            <w:pPr>
              <w:spacing w:after="0"/>
              <w:rPr>
                <w:sz w:val="16"/>
                <w:szCs w:val="16"/>
                <w:color w:val="auto"/>
              </w:rPr>
            </w:pP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1,210</w:t>
            </w:r>
          </w:p>
        </w:tc>
        <w:tc>
          <w:tcPr>
            <w:tcW w:w="6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771</w:t>
            </w:r>
          </w:p>
        </w:tc>
      </w:tr>
      <w:tr>
        <w:trPr>
          <w:trHeight w:val="190"/>
        </w:trPr>
        <w:tc>
          <w:tcPr>
            <w:tcW w:w="6360" w:type="dxa"/>
            <w:vAlign w:val="bottom"/>
          </w:tcPr>
          <w:p>
            <w:pPr>
              <w:spacing w:after="0"/>
              <w:rPr>
                <w:sz w:val="16"/>
                <w:szCs w:val="16"/>
                <w:color w:val="auto"/>
              </w:rPr>
            </w:pPr>
          </w:p>
        </w:tc>
        <w:tc>
          <w:tcPr>
            <w:tcW w:w="23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8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040" w:type="dxa"/>
            <w:vAlign w:val="bottom"/>
          </w:tcPr>
          <w:p>
            <w:pPr>
              <w:spacing w:after="0"/>
              <w:rPr>
                <w:sz w:val="16"/>
                <w:szCs w:val="16"/>
                <w:color w:val="auto"/>
              </w:rPr>
            </w:pP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9,661</w:t>
            </w:r>
          </w:p>
        </w:tc>
        <w:tc>
          <w:tcPr>
            <w:tcW w:w="6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6,450</w:t>
            </w:r>
          </w:p>
        </w:tc>
      </w:tr>
      <w:tr>
        <w:trPr>
          <w:trHeight w:val="190"/>
        </w:trPr>
        <w:tc>
          <w:tcPr>
            <w:tcW w:w="6360" w:type="dxa"/>
            <w:vAlign w:val="bottom"/>
          </w:tcPr>
          <w:p>
            <w:pPr>
              <w:spacing w:after="0"/>
              <w:rPr>
                <w:sz w:val="16"/>
                <w:szCs w:val="16"/>
                <w:color w:val="auto"/>
              </w:rPr>
            </w:pPr>
          </w:p>
        </w:tc>
        <w:tc>
          <w:tcPr>
            <w:tcW w:w="23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6360" w:type="dxa"/>
            <w:vAlign w:val="bottom"/>
          </w:tcPr>
          <w:p>
            <w:pPr>
              <w:ind w:left="100"/>
              <w:spacing w:after="0"/>
              <w:rPr>
                <w:sz w:val="20"/>
                <w:szCs w:val="20"/>
                <w:color w:val="auto"/>
              </w:rPr>
            </w:pPr>
            <w:r>
              <w:rPr>
                <w:rFonts w:ascii="Courier New" w:cs="Courier New" w:eastAsia="Courier New" w:hAnsi="Courier New"/>
                <w:sz w:val="16"/>
                <w:szCs w:val="16"/>
                <w:color w:val="auto"/>
              </w:rPr>
              <w:t>Acquisition of plant, property, and equipment</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(7,522)</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(9,361)</w:t>
            </w:r>
          </w:p>
        </w:tc>
      </w:tr>
      <w:tr>
        <w:trPr>
          <w:trHeight w:val="190"/>
        </w:trPr>
        <w:tc>
          <w:tcPr>
            <w:tcW w:w="636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1040" w:type="dxa"/>
            <w:vAlign w:val="bottom"/>
          </w:tcPr>
          <w:p>
            <w:pPr>
              <w:spacing w:after="0"/>
              <w:rPr>
                <w:sz w:val="16"/>
                <w:szCs w:val="16"/>
                <w:color w:val="auto"/>
              </w:rPr>
            </w:pP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90"/>
        </w:trPr>
        <w:tc>
          <w:tcPr>
            <w:tcW w:w="6360" w:type="dxa"/>
            <w:vAlign w:val="bottom"/>
          </w:tcPr>
          <w:p>
            <w:pPr>
              <w:spacing w:after="0"/>
              <w:rPr>
                <w:sz w:val="16"/>
                <w:szCs w:val="16"/>
                <w:color w:val="auto"/>
              </w:rPr>
            </w:pPr>
          </w:p>
        </w:tc>
        <w:tc>
          <w:tcPr>
            <w:tcW w:w="23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880"/>
              <w:spacing w:after="0"/>
              <w:rPr>
                <w:sz w:val="20"/>
                <w:szCs w:val="20"/>
                <w:color w:val="auto"/>
              </w:rPr>
            </w:pPr>
            <w:r>
              <w:rPr>
                <w:rFonts w:ascii="Courier New" w:cs="Courier New" w:eastAsia="Courier New" w:hAnsi="Courier New"/>
                <w:sz w:val="16"/>
                <w:szCs w:val="16"/>
                <w:color w:val="auto"/>
              </w:rPr>
              <w:t>Net cash used by investing activities</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(7,512)</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(9,364)</w:t>
            </w:r>
          </w:p>
        </w:tc>
      </w:tr>
      <w:tr>
        <w:trPr>
          <w:trHeight w:val="190"/>
        </w:trPr>
        <w:tc>
          <w:tcPr>
            <w:tcW w:w="6360" w:type="dxa"/>
            <w:vAlign w:val="bottom"/>
          </w:tcPr>
          <w:p>
            <w:pPr>
              <w:spacing w:after="0"/>
              <w:rPr>
                <w:sz w:val="16"/>
                <w:szCs w:val="16"/>
                <w:color w:val="auto"/>
              </w:rPr>
            </w:pPr>
          </w:p>
        </w:tc>
        <w:tc>
          <w:tcPr>
            <w:tcW w:w="23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3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6360" w:type="dxa"/>
            <w:vAlign w:val="bottom"/>
          </w:tcPr>
          <w:p>
            <w:pPr>
              <w:ind w:left="100"/>
              <w:spacing w:after="0"/>
              <w:rPr>
                <w:sz w:val="20"/>
                <w:szCs w:val="20"/>
                <w:color w:val="auto"/>
              </w:rPr>
            </w:pPr>
            <w:r>
              <w:rPr>
                <w:rFonts w:ascii="Courier New" w:cs="Courier New" w:eastAsia="Courier New" w:hAnsi="Courier New"/>
                <w:sz w:val="16"/>
                <w:szCs w:val="16"/>
                <w:color w:val="auto"/>
              </w:rPr>
              <w:t>Proceeds under revolving credit facility</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(348)</w:t>
            </w:r>
          </w:p>
        </w:tc>
        <w:tc>
          <w:tcPr>
            <w:tcW w:w="6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1,450</w:t>
            </w:r>
          </w:p>
        </w:tc>
      </w:tr>
      <w:tr>
        <w:trPr>
          <w:trHeight w:val="190"/>
        </w:trPr>
        <w:tc>
          <w:tcPr>
            <w:tcW w:w="636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(3,497)</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(2,830)</w:t>
            </w:r>
          </w:p>
        </w:tc>
      </w:tr>
      <w:tr>
        <w:trPr>
          <w:trHeight w:val="190"/>
        </w:trPr>
        <w:tc>
          <w:tcPr>
            <w:tcW w:w="6360" w:type="dxa"/>
            <w:vAlign w:val="bottom"/>
          </w:tcPr>
          <w:p>
            <w:pPr>
              <w:ind w:left="100"/>
              <w:spacing w:after="0"/>
              <w:rPr>
                <w:sz w:val="20"/>
                <w:szCs w:val="20"/>
                <w:color w:val="auto"/>
              </w:rPr>
            </w:pPr>
            <w:r>
              <w:rPr>
                <w:rFonts w:ascii="Courier New" w:cs="Courier New" w:eastAsia="Courier New" w:hAnsi="Courier New"/>
                <w:sz w:val="16"/>
                <w:szCs w:val="16"/>
                <w:color w:val="auto"/>
              </w:rPr>
              <w:t>Stock options exercised (Note 4)</w:t>
            </w:r>
          </w:p>
        </w:tc>
        <w:tc>
          <w:tcPr>
            <w:tcW w:w="1040" w:type="dxa"/>
            <w:vAlign w:val="bottom"/>
          </w:tcPr>
          <w:p>
            <w:pPr>
              <w:spacing w:after="0"/>
              <w:rPr>
                <w:sz w:val="16"/>
                <w:szCs w:val="16"/>
                <w:color w:val="auto"/>
              </w:rPr>
            </w:pP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1,696</w:t>
            </w:r>
          </w:p>
        </w:tc>
        <w:tc>
          <w:tcPr>
            <w:tcW w:w="6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spacing w:after="0"/>
              <w:rPr>
                <w:sz w:val="16"/>
                <w:szCs w:val="16"/>
                <w:color w:val="auto"/>
              </w:rPr>
            </w:pPr>
          </w:p>
        </w:tc>
        <w:tc>
          <w:tcPr>
            <w:tcW w:w="23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880"/>
              <w:spacing w:after="0"/>
              <w:rPr>
                <w:sz w:val="20"/>
                <w:szCs w:val="20"/>
                <w:color w:val="auto"/>
              </w:rPr>
            </w:pPr>
            <w:r>
              <w:rPr>
                <w:rFonts w:ascii="Courier New" w:cs="Courier New" w:eastAsia="Courier New" w:hAnsi="Courier New"/>
                <w:sz w:val="16"/>
                <w:szCs w:val="16"/>
                <w:color w:val="auto"/>
              </w:rPr>
              <w:t>Net cash (used) provided by financing activities</w:t>
            </w:r>
          </w:p>
        </w:tc>
        <w:tc>
          <w:tcPr>
            <w:tcW w:w="10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(2,149)</w:t>
            </w: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(1,380)</w:t>
            </w:r>
          </w:p>
        </w:tc>
      </w:tr>
      <w:tr>
        <w:trPr>
          <w:trHeight w:val="190"/>
        </w:trPr>
        <w:tc>
          <w:tcPr>
            <w:tcW w:w="6360" w:type="dxa"/>
            <w:vAlign w:val="bottom"/>
          </w:tcPr>
          <w:p>
            <w:pPr>
              <w:spacing w:after="0"/>
              <w:rPr>
                <w:sz w:val="16"/>
                <w:szCs w:val="16"/>
                <w:color w:val="auto"/>
              </w:rPr>
            </w:pPr>
          </w:p>
        </w:tc>
        <w:tc>
          <w:tcPr>
            <w:tcW w:w="23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36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1040" w:type="dxa"/>
            <w:vAlign w:val="bottom"/>
          </w:tcPr>
          <w:p>
            <w:pPr>
              <w:spacing w:after="0"/>
              <w:rPr>
                <w:sz w:val="24"/>
                <w:szCs w:val="24"/>
                <w:color w:val="auto"/>
              </w:rPr>
            </w:pPr>
          </w:p>
        </w:tc>
        <w:tc>
          <w:tcPr>
            <w:tcW w:w="12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(4,294)</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040" w:type="dxa"/>
            <w:vAlign w:val="bottom"/>
          </w:tcPr>
          <w:p>
            <w:pPr>
              <w:spacing w:after="0"/>
              <w:rPr>
                <w:sz w:val="16"/>
                <w:szCs w:val="16"/>
                <w:color w:val="auto"/>
              </w:rPr>
            </w:pPr>
          </w:p>
        </w:tc>
        <w:tc>
          <w:tcPr>
            <w:tcW w:w="12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4,294</w:t>
            </w:r>
          </w:p>
        </w:tc>
      </w:tr>
      <w:tr>
        <w:trPr>
          <w:trHeight w:val="190"/>
        </w:trPr>
        <w:tc>
          <w:tcPr>
            <w:tcW w:w="6360" w:type="dxa"/>
            <w:vAlign w:val="bottom"/>
          </w:tcPr>
          <w:p>
            <w:pPr>
              <w:spacing w:after="0"/>
              <w:rPr>
                <w:sz w:val="16"/>
                <w:szCs w:val="16"/>
                <w:color w:val="auto"/>
              </w:rPr>
            </w:pPr>
          </w:p>
        </w:tc>
        <w:tc>
          <w:tcPr>
            <w:tcW w:w="23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spacing w:after="0"/>
              <w:rPr>
                <w:sz w:val="16"/>
                <w:szCs w:val="16"/>
                <w:color w:val="auto"/>
              </w:rPr>
            </w:pPr>
          </w:p>
        </w:tc>
        <w:tc>
          <w:tcPr>
            <w:tcW w:w="23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SEE ACCOMPANYING NOTES.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360"/>
          </w:cols>
          <w:pgMar w:left="240" w:top="306" w:right="1299"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3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NN BALL &amp; ROLLER, INC.</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200" w:lineRule="exact"/>
        <w:rPr>
          <w:sz w:val="20"/>
          <w:szCs w:val="20"/>
          <w:color w:val="auto"/>
        </w:rPr>
      </w:pPr>
    </w:p>
    <w:p>
      <w:pPr>
        <w:spacing w:after="0" w:line="37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w:t>
        <w:tab/>
        <w:t>INTERIM FINANCIAL STATEMENTS</w:t>
      </w:r>
    </w:p>
    <w:p>
      <w:pPr>
        <w:spacing w:after="0" w:line="198" w:lineRule="exact"/>
        <w:rPr>
          <w:sz w:val="20"/>
          <w:szCs w:val="20"/>
          <w:color w:val="auto"/>
        </w:rPr>
      </w:pPr>
    </w:p>
    <w:p>
      <w:pPr>
        <w:ind w:right="1200"/>
        <w:spacing w:after="0" w:line="251" w:lineRule="auto"/>
        <w:rPr>
          <w:sz w:val="20"/>
          <w:szCs w:val="20"/>
          <w:color w:val="auto"/>
        </w:rPr>
      </w:pPr>
      <w:r>
        <w:rPr>
          <w:rFonts w:ascii="Courier New" w:cs="Courier New" w:eastAsia="Courier New" w:hAnsi="Courier New"/>
          <w:sz w:val="16"/>
          <w:szCs w:val="16"/>
          <w:color w:val="auto"/>
        </w:rPr>
        <w:t>The accompanying condensed financial statements of NN Ball &amp; Roller, Inc. have not been audited by independent accountants, except for the balance sheet at December 31, 1995. In the opinion of the Company's management, the financial statements reflect all adjustments necessary to present fairly the results of operations for the three and nine month periods ended September 30, 1996 and 1995, the Company's financial position at September 30, 1996 and December 31, 1995, and the cash flows for the nine month periods ended September 30, 1996 and 1995. These adjustments are of a normal recurring nature, except for the adjustments described below in Note 2, and are, in the opinion of management, necessary for fair presentation of the financial position and operating results for the interim periods.</w:t>
      </w:r>
    </w:p>
    <w:p>
      <w:pPr>
        <w:spacing w:after="0" w:line="379" w:lineRule="exact"/>
        <w:rPr>
          <w:sz w:val="20"/>
          <w:szCs w:val="20"/>
          <w:color w:val="auto"/>
        </w:rPr>
      </w:pPr>
    </w:p>
    <w:p>
      <w:pPr>
        <w:ind w:right="1300"/>
        <w:spacing w:after="0" w:line="252"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87" w:lineRule="exact"/>
        <w:rPr>
          <w:sz w:val="20"/>
          <w:szCs w:val="20"/>
          <w:color w:val="auto"/>
        </w:rPr>
      </w:pPr>
    </w:p>
    <w:p>
      <w:pPr>
        <w:ind w:right="1300"/>
        <w:spacing w:after="0" w:line="255" w:lineRule="auto"/>
        <w:rPr>
          <w:sz w:val="20"/>
          <w:szCs w:val="20"/>
          <w:color w:val="auto"/>
        </w:rPr>
      </w:pPr>
      <w:r>
        <w:rPr>
          <w:rFonts w:ascii="Courier New" w:cs="Courier New" w:eastAsia="Courier New" w:hAnsi="Courier New"/>
          <w:sz w:val="16"/>
          <w:szCs w:val="16"/>
          <w:color w:val="auto"/>
        </w:rPr>
        <w:t>The results for the first three quarters of 1996 are not necessarily indicative of future results.</w:t>
      </w:r>
    </w:p>
    <w:p>
      <w:pPr>
        <w:spacing w:after="0" w:line="18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2.</w:t>
        <w:tab/>
        <w:t>THREE-FOR-TWO STOCK SPLITS</w:t>
      </w:r>
    </w:p>
    <w:p>
      <w:pPr>
        <w:spacing w:after="0" w:line="198" w:lineRule="exact"/>
        <w:rPr>
          <w:sz w:val="20"/>
          <w:szCs w:val="20"/>
          <w:color w:val="auto"/>
        </w:rPr>
      </w:pPr>
    </w:p>
    <w:p>
      <w:pPr>
        <w:ind w:right="1200"/>
        <w:spacing w:after="0" w:line="252" w:lineRule="auto"/>
        <w:rPr>
          <w:sz w:val="20"/>
          <w:szCs w:val="20"/>
          <w:color w:val="auto"/>
        </w:rPr>
      </w:pPr>
      <w:r>
        <w:rPr>
          <w:rFonts w:ascii="Courier New" w:cs="Courier New" w:eastAsia="Courier New" w:hAnsi="Courier New"/>
          <w:sz w:val="16"/>
          <w:szCs w:val="16"/>
          <w:color w:val="auto"/>
        </w:rPr>
        <w:t>On February 9, 1995, the Company's Board of Directors authorized a three-for-two stock split effected in the form of a 50% stock dividend payable on March 5, 1995 to stockholders of record on February 27, 1995. This resulted in the issuance of approximately 3,216,000 additional shares of Common Stock.</w:t>
      </w:r>
    </w:p>
    <w:p>
      <w:pPr>
        <w:spacing w:after="0" w:line="187" w:lineRule="exact"/>
        <w:rPr>
          <w:sz w:val="20"/>
          <w:szCs w:val="20"/>
          <w:color w:val="auto"/>
        </w:rPr>
      </w:pPr>
    </w:p>
    <w:p>
      <w:pPr>
        <w:ind w:right="1300"/>
        <w:spacing w:after="0" w:line="253" w:lineRule="auto"/>
        <w:rPr>
          <w:sz w:val="20"/>
          <w:szCs w:val="20"/>
          <w:color w:val="auto"/>
        </w:rPr>
      </w:pPr>
      <w:r>
        <w:rPr>
          <w:rFonts w:ascii="Courier New" w:cs="Courier New" w:eastAsia="Courier New" w:hAnsi="Courier New"/>
          <w:sz w:val="16"/>
          <w:szCs w:val="16"/>
          <w:color w:val="auto"/>
        </w:rPr>
        <w:t>On November 13, 1995, the Company's Board of Directors authorized a three-for-two stock split effected in the form of a 50% stock dividend payable on December 5, 1995 to stockholders of record on November 27, 1995. This resulted in the issuance of approximately 4,825,000 additional shares of common stock.</w:t>
      </w:r>
    </w:p>
    <w:p>
      <w:pPr>
        <w:spacing w:after="0" w:line="373" w:lineRule="exact"/>
        <w:rPr>
          <w:sz w:val="20"/>
          <w:szCs w:val="20"/>
          <w:color w:val="auto"/>
        </w:rPr>
      </w:pPr>
    </w:p>
    <w:p>
      <w:pPr>
        <w:ind w:right="1300"/>
        <w:spacing w:after="0" w:line="253" w:lineRule="auto"/>
        <w:rPr>
          <w:sz w:val="20"/>
          <w:szCs w:val="20"/>
          <w:color w:val="auto"/>
        </w:rPr>
      </w:pPr>
      <w:r>
        <w:rPr>
          <w:rFonts w:ascii="Courier New" w:cs="Courier New" w:eastAsia="Courier New" w:hAnsi="Courier New"/>
          <w:sz w:val="16"/>
          <w:szCs w:val="16"/>
          <w:color w:val="auto"/>
        </w:rPr>
        <w:t>Unless otherwise stated, all references in the financial statements to stock option data, per share and weighted average share amounts have been restated to reflect these stock splits.</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3.</w:t>
        <w:tab/>
        <w:t>INVENTORIES</w:t>
      </w:r>
    </w:p>
    <w:p>
      <w:pPr>
        <w:spacing w:after="0" w:line="198" w:lineRule="exact"/>
        <w:rPr>
          <w:sz w:val="20"/>
          <w:szCs w:val="20"/>
          <w:color w:val="auto"/>
        </w:rPr>
      </w:pPr>
    </w:p>
    <w:p>
      <w:pPr>
        <w:ind w:right="2180"/>
        <w:spacing w:after="0" w:line="255"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6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62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190"/>
        </w:trPr>
        <w:tc>
          <w:tcPr>
            <w:tcW w:w="62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2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9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1,302</w:t>
            </w: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19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2,804</w:t>
            </w: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9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7,187</w:t>
            </w:r>
          </w:p>
        </w:tc>
      </w:tr>
      <w:tr>
        <w:trPr>
          <w:trHeight w:val="190"/>
        </w:trPr>
        <w:tc>
          <w:tcPr>
            <w:tcW w:w="62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11,293</w:t>
            </w: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Less - Reserve for excess and obsolete inventory</w:t>
            </w:r>
          </w:p>
        </w:tc>
        <w:tc>
          <w:tcPr>
            <w:tcW w:w="192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w:t>
            </w:r>
          </w:p>
        </w:tc>
      </w:tr>
      <w:tr>
        <w:trPr>
          <w:trHeight w:val="190"/>
        </w:trPr>
        <w:tc>
          <w:tcPr>
            <w:tcW w:w="62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11,233</w:t>
            </w:r>
          </w:p>
        </w:tc>
      </w:tr>
      <w:tr>
        <w:trPr>
          <w:trHeight w:val="190"/>
        </w:trPr>
        <w:tc>
          <w:tcPr>
            <w:tcW w:w="62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58"/>
        </w:trPr>
        <w:tc>
          <w:tcPr>
            <w:tcW w:w="6260" w:type="dxa"/>
            <w:vAlign w:val="bottom"/>
          </w:tcPr>
          <w:p>
            <w:pPr>
              <w:ind w:left="3840"/>
              <w:spacing w:after="0"/>
              <w:rPr>
                <w:sz w:val="20"/>
                <w:szCs w:val="20"/>
                <w:color w:val="auto"/>
              </w:rPr>
            </w:pPr>
            <w:r>
              <w:rPr>
                <w:rFonts w:ascii="Courier New" w:cs="Courier New" w:eastAsia="Courier New" w:hAnsi="Courier New"/>
                <w:sz w:val="16"/>
                <w:szCs w:val="16"/>
                <w:color w:val="auto"/>
              </w:rPr>
              <w:t>6</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DECEMBER 31,</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1995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800" w:hanging="795"/>
        <w:spacing w:after="0"/>
        <w:tabs>
          <w:tab w:leader="none" w:pos="8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2,707</w:t>
      </w:r>
    </w:p>
    <w:p>
      <w:pPr>
        <w:spacing w:after="0" w:line="8" w:lineRule="exact"/>
        <w:rPr>
          <w:rFonts w:ascii="Courier New" w:cs="Courier New" w:eastAsia="Courier New" w:hAnsi="Courier New"/>
          <w:sz w:val="16"/>
          <w:szCs w:val="16"/>
          <w:color w:val="auto"/>
        </w:rPr>
      </w:pPr>
    </w:p>
    <w:p>
      <w:pPr>
        <w:ind w:left="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3,172</w:t>
      </w:r>
    </w:p>
    <w:p>
      <w:pPr>
        <w:spacing w:after="0" w:line="8" w:lineRule="exact"/>
        <w:rPr>
          <w:rFonts w:ascii="Courier New" w:cs="Courier New" w:eastAsia="Courier New" w:hAnsi="Courier New"/>
          <w:sz w:val="16"/>
          <w:szCs w:val="16"/>
          <w:color w:val="auto"/>
        </w:rPr>
      </w:pPr>
    </w:p>
    <w:p>
      <w:pPr>
        <w:ind w:left="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9,873</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00" w:hanging="696"/>
        <w:spacing w:after="0"/>
        <w:tabs>
          <w:tab w:leader="none" w:pos="8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9,813</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9080" w:space="380"/>
            <w:col w:w="1380"/>
          </w:cols>
          <w:pgMar w:left="240" w:top="306" w:right="81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4.</w:t>
        <w:tab/>
        <w:t>STOCK OPTIONS EXERCISED</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During the first nine months of 1996, certain employees exercised options to purchase the Company's common stock under the Company's Stock Incentive Plan. Options to purchase 150,231 shares were exercised at $6.22 per share and options to purchase 5,875 shares were exercised at $9.39 per share.</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38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ind w:right="3119"/>
        <w:spacing w:after="0" w:line="255" w:lineRule="auto"/>
        <w:rPr>
          <w:sz w:val="20"/>
          <w:szCs w:val="20"/>
          <w:color w:val="auto"/>
        </w:rPr>
      </w:pPr>
      <w:r>
        <w:rPr>
          <w:rFonts w:ascii="Courier New" w:cs="Courier New" w:eastAsia="Courier New" w:hAnsi="Courier New"/>
          <w:sz w:val="16"/>
          <w:szCs w:val="16"/>
          <w:color w:val="auto"/>
        </w:rPr>
        <w:t>THREE MONTHS ENDED SEPTEMBER 30, 1996 COMPARED TO THE THREE MONTHS ENDED SEPTEMBER 30, 1995</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Net sales decreased by approximately $2.4 million, or 12.6%, from $18.9 million for the third quarter of 1995 to $16.6 million for the third quarter of 1996. Foreign sales decreased $2.3 million, or 25.6%, from $9.0 million in the third quarter of 1995 to $6.7 million during the third quarter of 1996. The decrease in foreign sales was due primarily to decreased sales to European customers due to general European economic conditions and the over-building of inventories by customers in the first half of 1996. Domestic sales remained relatively flat, decreasing $69,000, or 0.7%, from $9.9 million in the third quarter of 1995 to $9.8 million in the third quarter of 1996.</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As a result of weaker international demand, the excess inventory builds by certain customers and a slowing in the rate of outsourcing of captive production by customers with captive ball producers, the Company currently expects net sales in the fourth quarter of 1996 will be lower than the $21.6 million of net sales reported in the fourth quarter of 1995, although net sales in the fourth quarter of 1996 are expected to exceed net sales in the third quarter of 1996. The Company also currently expects net sales in fiscal year 1997 will approximate net sales in fiscal year 1996.</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Gross Profit. Gross profit increased $136,000, or 2.4%, from $5.6 million for the third quarter of 1995 to $5.7 million for the third quarter of 1996. As a percentage of net sales, gross profit increased from 29.5% in the third quarter of 1995 to 34.6% for the same period in 1996. During the third quarter of 1995, gross profit was adversely affected as a result of increased raw material costs resulting from a steel shortage and of inefficiencies associated with the steel shortage and capacity constraints, including increased labor and transportation costs. During the first quarter of 1996, the Company brought additional capacity on-line with the addition of the Mountain City, Tennessee facility which allowed for more efficient operations. In addition, the Company was able to pass along increased steel costs to customers in the latter part of 1995. During the third quarter of 1996, the Company implemented a new financial reporting software package which allows for the more efficient tracking and controlling of costs. Additionally, in the third quarter of 1996, the Company recorded $300,000 of duty drawback associated with 1995 imports of raw material which had not been previously recorded. This amount is an offset to export fees paid.</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11.7%, from $1.1 million in the third quarter of 1995 to $1.3 million in the third quarter of 1996. This increase was due primarily to increased salaries and wages and also increased travel expenses. As a percentage of net sales, selling, general and administrative expenses increased from 6.0% for the third quarter of 1995 to 7.6% for the same period in 1996.</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Depreciation. Depreciation expense increased from $525,000 for the third quarter of 1995 to $826,000 for the same period in 1996. This increase was due primarily to purchases of capital equipment. As a percentage of net sales, depreciation expense increased from 2.8% for in the third quarter of 1995 to 5.0% in the third quarter of 1996.</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Income. Net income decreased by $482,000, or 18.0%, from $2.7 million for the third quarter of 1995 to $2.1 million for the same period in 1996. As a percentage of net sales, net income decreased from 14.1% in the third quarter of 1995 to 13.3% for the third quarter of 1996. This decrease in net income as a percentage of net sales was due primarily to increased selling, general and administrative expenses and</w:t>
      </w:r>
    </w:p>
    <w:p>
      <w:pPr>
        <w:sectPr>
          <w:pgSz w:w="11900" w:h="16838" w:orient="portrait"/>
          <w:cols w:equalWidth="0" w:num="1">
            <w:col w:w="10219"/>
          </w:cols>
          <w:pgMar w:left="240" w:top="306" w:right="1440" w:bottom="1440" w:gutter="0" w:footer="0" w:header="0"/>
        </w:sectPr>
      </w:pP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6"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depreciation expenses discussed above, as well as increased interest expense associated with draws by the Company on its revolving line of credit with NationsBank (terms of the credit facility are discussed below). In addition, the Company increased the provision for income taxes due to the decrease in foreign sales and the anticipated decrease in the level of tax benefit from the Company's participation in a shared foreign sales corporation.</w:t>
      </w:r>
    </w:p>
    <w:p>
      <w:pPr>
        <w:spacing w:after="0" w:line="379"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NINE MONTHS ENDED SEPTEMBER 30, 1996 COMPARED TO THE NINE MONTHS ENDED SEPTEMBER 30, 1995</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Net sales increased by approximately $9.3 million, or 16.5%, from $56.2 million for the first nine months of 1995 to $65.5 million for the same period in 1996. Foreign sales increased $6.7 million, or 25.7%, from $26.1 million in the first nine months of 1995 to $32.8 million during the same period of 1996. This increase was due primarily to increased sales volumes with existing customers, and to a lesser extent, sales to several new customers. Domestic sales increased $2.7 million, or 8.9%, from $30.0 million in the first nine months of 1995 to $32.7 million in the same period of 1996. This increase was due primarily to increased sales volumes with existing customers.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As a result of weaker international demand, the excess inventory builds by certain customers and a slowing in the rate of outsourcing of captive production by customers with captive ball producers, the Company currently expects net sales in the fourth quarter of 1996 will be lower than the $21.6 million of net sales reported in the fourth quarter of 1995, although net sales in the fourth quarter of 1996 are expected to exceed net sales in the third quarter of 1996. The Company also currently expects net sales in fiscal year 1997 will approximate net sales in fiscal year 1996.</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Gross Profit. Gross profit increased $4.5 million, or 26.5%, from $17.2 million for the first nine months of 1995 to $21.7 million for the same period of 1996. As a percentage of net sales, gross profit increased from 30.6% in the first nine months of 1995 to 33.2% in the same period of 1996. During the first nine months of 1995, gross profit was adversely affected as a result of increased raw material costs resulting from a steel shortage and inefficiencies associated with the steel shortage and capacity constraints, including increased labor and transportation costs. During the first quarter of 1996, the Company brought additional capacity on-line with the addition of the Mountain City, Tennessee Facility which allowed for more efficient operations. In addition, the Company was able to pass along increased steel costs to customers in the latter part of 1995. During the third quarter of 1996, the Company implemented a new financial reporting software package which allowed for the more efficient tracking and controlling of costs. Additionally, in the third quarter of 1996, the Company recorded $300,000 of duty drawback associated with 1995 imports of raw material which had not been previously recorded. This amount is an offset to export fees paid.</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$395,000, or 12.6%, from $3.1 million in the first nine months of 1995 to $3.5 million in the same period of 1996. This increase was due primarily to increase salaries and wages and increased travel expenses. As a percentage of net sales, selling, general and administrative expenses decreased from 5.6% in the first nine months of 1995 to 5.4% for the same period in 1996.</w:t>
      </w:r>
    </w:p>
    <w:p>
      <w:pPr>
        <w:spacing w:after="0" w:line="190"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Depreciation. Depreciation expense increased from $1.7 million for the first nine months of 1995 to $2.5 million for the same period in 1996. This increase was due primarily to purchases of capital equipment. As a percentage of net sales, depreciation expense increased from 3.1% for the first nine months of 1995 to 3.9% for the same period in 1996.</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Income. Net income increased by $1.6 million, or 19.5%, from $8.3 million for the first nine months of 1995 to $9.9 million for the same period for 1996. As a percentage of net sales, net income increased from 14.8% for the first nine months of 1995 to 15.2% for the same period for 1996. The increase in gross margin was due to higher operating costs and higher interest expense related to the Company's draw on the line of credit with NationsBank (the terms of the credit facility are discussed below). Additionally,</w:t>
      </w:r>
    </w:p>
    <w:p>
      <w:pPr>
        <w:sectPr>
          <w:pgSz w:w="11900" w:h="16838" w:orient="portrait"/>
          <w:cols w:equalWidth="0" w:num="1">
            <w:col w:w="10219"/>
          </w:cols>
          <w:pgMar w:left="240" w:top="306" w:right="1440" w:bottom="1440" w:gutter="0" w:footer="0" w:header="0"/>
        </w:sectPr>
      </w:pP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6"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8"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higher income taxes were recorded due to the decrease in export sales as a percentage of total sales and the anticipated decreased tax benefit from the Company's participation in a shared foreign sales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In February 1995, the Company entered into a modified loan agreement with NationsBank of Tennessee N.A. ("NationsBank") which replaced a loan agreement entered into with NationsBank in the first quarter of 1994. The loan agreement, as modified, provides for a revolving credit facility of up to $10.0 million, which will expire on May 31, 1998.</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Amounts outstanding under the revolving facility are unsecured and bear interest at a floating rate equal to, at the Company's option, either the NationsBank prime commercial rate minus 1.0% or LIBOR plus 1.15% (or LIBOR plus 1.0% if the minimum advance is at least $1.0 million). The loan agreement contains customary financial and operating restrictions on the Company, including covenants restricting the Company, without NationsBank's consent, from pledging its inventory, accounts receivable or other assets to other lenders or from acquiring any other businesses if the aggregate expenditures by the Company in connection with such acquisitions would exceed a certain threshold in any fiscal year. In addition, the Company is prohibited from declaring or paying any dividend if an event of default exists under the revolving credit facility at the time of, or would occur as a result of, such declaration or payment. The loan agreement also contains customary covenants requiring the satisfaction of certain financial tests and the maintenance of certain financial ratios, including covenants requiring the Company to maintain a tangible net worth of not less than $25.0 million, working capital of not less than $10.0 million, a ratio of total debt to net worth of not more than 1 to 1, and a ratio of current assets to current liabilities of not less than 1.5 to 1. The Company is in compliance with all such covenants. The outstanding principal balance of the Company's borrowings under the revolving facility as of September 30, 1996 was $3.2 million of which $1.0 million was accruing interest at LIBOR plus 1%. The remaining $2.2 million was accruing interest at the NationsBank prime commercial rate minus 1%.</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Due to the continuing expansion of the Company's foreign sales, management believes that the Company's working capital requirements will increase as a result of longer payment terms provided to foreign customers. Currently, all foreign sales are billed and paid for in United States dollars. As foreign sales have increased as a percentage of total sales, seasonality has become a factor for the Company in that many foreign customers cease production during the month of August.</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To date, the Company has not been materially adversely affected by currency fluctuations or foreign exchange restrictions. Approximately 90% of the steel used by the Company is 52100 chrome alloy steel ("52100 Steel"). The Company currently purchases a significant amount of its 52100 Steel requirements from foreign mills. During 1995 and the first nine months of 1996, due to an increase in worldwide demand for 52100 Steel and the decrease in the value of the United States dollar relative to foreign currencies, the Company experienced an increase in the price of 52100 Steel. The Company typically reserves the right to periodically increase product prices in the event of increases in its raw material costs. During 1995 and the first nine months of 1996, the Company was able to minimize the impact on its operations resulting from the 52100 Steel price increases by taking such measures. As the Company's international operations continue to grow, foreign exchange risk may increase, and the Company may be required to develop and implement additional strategies to manage this risk.</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6"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Working capital, which consists principally of accounts receivable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was $16.6 million at September 30, 1996 as compared to $13.4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December 31, 1995. The ratio of current assets to current liabilities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from 2.0:1 at December 31, 1995 to 2.7:1 at September 30, 1996.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flow from operations increased from $6.4 million during the first nine months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to $9.7 million during the first nine months of 1996. This increase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attributed to the increase in accounts receivable of $2.3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net income of $1.6 million and increased depreciation charges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$793,000 from the prior year. This increase was partially offset by a decrease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accounts payable of $4.3 million and an increase in inventories of $1.4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During 1996, the Company plans to spend $8.5 million on capital expenditures (of which $7.5 million has been spent through September 30, 1996) including the purchase and further renovation of the Mountain City facility, as well as the purchase of additional machinery and equipment for all three of the Company's facilities.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1997.</w:t>
      </w:r>
    </w:p>
    <w:p>
      <w:pPr>
        <w:spacing w:after="0" w:line="379"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filling and in the Company's prior fillings.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The following paragraphs discuss the risk factors the Company regard as the most significant. Although the Company has attempted to list comprehensively the risk factors, the Company wishes to caution investors that other factors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37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379"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Rapid Growth. The Company has significantly expanded its production facilities and capacity over the last several years. The Company currently is not operating at full capacity and faces risks of further underutilization or inefficient utilization of its production facilities in future years. The Company also \</w:t>
      </w:r>
    </w:p>
    <w:p>
      <w:pPr>
        <w:sectPr>
          <w:pgSz w:w="11900" w:h="16838" w:orient="portrait"/>
          <w:cols w:equalWidth="0" w:num="1">
            <w:col w:w="10219"/>
          </w:cols>
          <w:pgMar w:left="240" w:top="306"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8"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faces risks associated with start-up expenses, inefficiencies , delays and increased depreciation costs associated with its recently completed facility in Mountain City, Tennessee, and with its plant expansions.</w:t>
      </w:r>
    </w:p>
    <w:p>
      <w:pPr>
        <w:spacing w:after="0" w:line="185"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changes or taxes, and</w:t>
      </w:r>
    </w:p>
    <w:p>
      <w:pPr>
        <w:ind w:right="2339" w:firstLine="1"/>
        <w:spacing w:after="0" w:line="251" w:lineRule="auto"/>
        <w:tabs>
          <w:tab w:leader="none" w:pos="39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unstable governments or legal systems in countries in which the Company's suppliers and customers are located. Currently, all foreign sales are billed and paid for in United States dollars. An increase in the value of the United States dollar relative to foreign currencies may adversely affect the ability of the Company to compete with its foreign-based competitors for international as well as domestic sales.</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6"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38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27 - Financial Data Schedules (For Information of SEC Only)</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6"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388"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NN Ball &amp; Roller, Inc.</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6"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November 11,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/s/ James J. Mitchell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J. Mitchell, President and Chief Operating</w:t>
      </w:r>
    </w:p>
    <w:p>
      <w:pPr>
        <w:spacing w:after="0" w:line="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Officer</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500" w:space="0"/>
            <w:col w:w="2260" w:space="200"/>
            <w:col w:w="7259"/>
          </w:cols>
          <w:pgMar w:left="240" w:top="306"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November 11,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280"/>
        <w:spacing w:after="0"/>
        <w:tabs>
          <w:tab w:leader="none" w:pos="1760" w:val="left"/>
        </w:tabs>
        <w:rPr>
          <w:sz w:val="20"/>
          <w:szCs w:val="20"/>
          <w:color w:val="auto"/>
        </w:rPr>
      </w:pPr>
      <w:r>
        <w:rPr>
          <w:rFonts w:ascii="Courier New" w:cs="Courier New" w:eastAsia="Courier New" w:hAnsi="Courier New"/>
          <w:sz w:val="16"/>
          <w:szCs w:val="16"/>
          <w:color w:val="auto"/>
        </w:rPr>
        <w:t>/s/</w:t>
        <w:tab/>
        <w:t>Roderick R. Baty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Roderick R. Baty</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Chief Financial Officer and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Vice President</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(Principal Financial Officer)</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500" w:space="0"/>
            <w:col w:w="2260" w:space="200"/>
            <w:col w:w="7259"/>
          </w:cols>
          <w:pgMar w:left="240" w:top="306"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November 11,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/s/ William C. Kelly,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William C. Kelly, Jr.,</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Treasurer, Assistant Secretary and</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Chief Accounting Officer</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(Principal Accounting Officer)</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500" w:space="0"/>
            <w:col w:w="2260" w:space="200"/>
            <w:col w:w="7259"/>
          </w:cols>
          <w:pgMar w:left="240" w:top="306" w:right="1440" w:bottom="1440" w:gutter="0" w:footer="0" w:header="0"/>
          <w:type w:val="continuous"/>
        </w:sectPr>
      </w:pP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6"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77" w:lineRule="exact"/>
        <w:rPr>
          <w:sz w:val="20"/>
          <w:szCs w:val="20"/>
          <w:color w:val="auto"/>
        </w:rPr>
      </w:pPr>
    </w:p>
    <w:p>
      <w:pPr>
        <w:ind w:left="3740" w:right="5520" w:hanging="880"/>
        <w:spacing w:after="0" w:line="506" w:lineRule="auto"/>
        <w:tabs>
          <w:tab w:leader="none" w:pos="314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INDEX</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90"/>
        </w:trPr>
        <w:tc>
          <w:tcPr>
            <w:tcW w:w="138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912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420" w:type="dxa"/>
            <w:vAlign w:val="bottom"/>
          </w:tcPr>
          <w:p>
            <w:pPr>
              <w:spacing w:after="0"/>
              <w:rPr>
                <w:sz w:val="16"/>
                <w:szCs w:val="16"/>
                <w:color w:val="auto"/>
              </w:rPr>
            </w:pPr>
          </w:p>
        </w:tc>
      </w:tr>
      <w:tr>
        <w:trPr>
          <w:trHeight w:val="569"/>
        </w:trPr>
        <w:tc>
          <w:tcPr>
            <w:tcW w:w="13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740" w:type="dxa"/>
            <w:vAlign w:val="bottom"/>
          </w:tcPr>
          <w:p>
            <w:pPr>
              <w:ind w:left="400"/>
              <w:spacing w:after="0"/>
              <w:rPr>
                <w:sz w:val="20"/>
                <w:szCs w:val="20"/>
                <w:color w:val="auto"/>
              </w:rPr>
            </w:pPr>
            <w:r>
              <w:rPr>
                <w:rFonts w:ascii="Courier New" w:cs="Courier New" w:eastAsia="Courier New" w:hAnsi="Courier New"/>
                <w:sz w:val="16"/>
                <w:szCs w:val="16"/>
                <w:color w:val="auto"/>
              </w:rPr>
              <w:t>Financial Statements:</w:t>
            </w:r>
          </w:p>
        </w:tc>
        <w:tc>
          <w:tcPr>
            <w:tcW w:w="1420" w:type="dxa"/>
            <w:vAlign w:val="bottom"/>
          </w:tcPr>
          <w:p>
            <w:pPr>
              <w:spacing w:after="0"/>
              <w:rPr>
                <w:sz w:val="24"/>
                <w:szCs w:val="24"/>
                <w:color w:val="auto"/>
              </w:rPr>
            </w:pPr>
          </w:p>
        </w:tc>
      </w:tr>
      <w:tr>
        <w:trPr>
          <w:trHeight w:val="379"/>
        </w:trPr>
        <w:tc>
          <w:tcPr>
            <w:tcW w:w="1380" w:type="dxa"/>
            <w:vAlign w:val="bottom"/>
          </w:tcPr>
          <w:p>
            <w:pPr>
              <w:spacing w:after="0"/>
              <w:rPr>
                <w:sz w:val="24"/>
                <w:szCs w:val="24"/>
                <w:color w:val="auto"/>
              </w:rPr>
            </w:pPr>
          </w:p>
        </w:tc>
        <w:tc>
          <w:tcPr>
            <w:tcW w:w="7740" w:type="dxa"/>
            <w:vAlign w:val="bottom"/>
          </w:tcPr>
          <w:p>
            <w:pPr>
              <w:ind w:left="400"/>
              <w:spacing w:after="0"/>
              <w:rPr>
                <w:sz w:val="20"/>
                <w:szCs w:val="20"/>
                <w:color w:val="auto"/>
              </w:rPr>
            </w:pPr>
            <w:r>
              <w:rPr>
                <w:rFonts w:ascii="Courier New" w:cs="Courier New" w:eastAsia="Courier New" w:hAnsi="Courier New"/>
                <w:sz w:val="16"/>
                <w:szCs w:val="16"/>
                <w:color w:val="auto"/>
              </w:rPr>
              <w:t>Condensed Statements of Income for the three and nine months</w:t>
            </w:r>
          </w:p>
        </w:tc>
        <w:tc>
          <w:tcPr>
            <w:tcW w:w="142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7740" w:type="dxa"/>
            <w:vAlign w:val="bottom"/>
          </w:tcPr>
          <w:p>
            <w:pPr>
              <w:ind w:left="700"/>
              <w:spacing w:after="0"/>
              <w:rPr>
                <w:sz w:val="20"/>
                <w:szCs w:val="20"/>
                <w:color w:val="auto"/>
              </w:rPr>
            </w:pPr>
            <w:r>
              <w:rPr>
                <w:rFonts w:ascii="Courier New" w:cs="Courier New" w:eastAsia="Courier New" w:hAnsi="Courier New"/>
                <w:sz w:val="16"/>
                <w:szCs w:val="16"/>
                <w:color w:val="auto"/>
              </w:rPr>
              <w:t>ended September 30, 1996 and 1995</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w:t>
            </w:r>
          </w:p>
        </w:tc>
      </w:tr>
      <w:tr>
        <w:trPr>
          <w:trHeight w:val="379"/>
        </w:trPr>
        <w:tc>
          <w:tcPr>
            <w:tcW w:w="1380" w:type="dxa"/>
            <w:vAlign w:val="bottom"/>
          </w:tcPr>
          <w:p>
            <w:pPr>
              <w:spacing w:after="0"/>
              <w:rPr>
                <w:sz w:val="24"/>
                <w:szCs w:val="24"/>
                <w:color w:val="auto"/>
              </w:rPr>
            </w:pPr>
          </w:p>
        </w:tc>
        <w:tc>
          <w:tcPr>
            <w:tcW w:w="7740" w:type="dxa"/>
            <w:vAlign w:val="bottom"/>
          </w:tcPr>
          <w:p>
            <w:pPr>
              <w:ind w:left="400"/>
              <w:spacing w:after="0"/>
              <w:rPr>
                <w:sz w:val="20"/>
                <w:szCs w:val="20"/>
                <w:color w:val="auto"/>
              </w:rPr>
            </w:pPr>
            <w:r>
              <w:rPr>
                <w:rFonts w:ascii="Courier New" w:cs="Courier New" w:eastAsia="Courier New" w:hAnsi="Courier New"/>
                <w:sz w:val="16"/>
                <w:szCs w:val="16"/>
                <w:color w:val="auto"/>
              </w:rPr>
              <w:t>Condensed Balance Sheets at September 30, 1996 and December 31, 1995</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w:t>
            </w:r>
          </w:p>
        </w:tc>
      </w:tr>
      <w:tr>
        <w:trPr>
          <w:trHeight w:val="379"/>
        </w:trPr>
        <w:tc>
          <w:tcPr>
            <w:tcW w:w="1380" w:type="dxa"/>
            <w:vAlign w:val="bottom"/>
          </w:tcPr>
          <w:p>
            <w:pPr>
              <w:spacing w:after="0"/>
              <w:rPr>
                <w:sz w:val="24"/>
                <w:szCs w:val="24"/>
                <w:color w:val="auto"/>
              </w:rPr>
            </w:pPr>
          </w:p>
        </w:tc>
        <w:tc>
          <w:tcPr>
            <w:tcW w:w="7740" w:type="dxa"/>
            <w:vAlign w:val="bottom"/>
          </w:tcPr>
          <w:p>
            <w:pPr>
              <w:ind w:left="400"/>
              <w:spacing w:after="0"/>
              <w:rPr>
                <w:sz w:val="20"/>
                <w:szCs w:val="20"/>
                <w:color w:val="auto"/>
              </w:rPr>
            </w:pPr>
            <w:r>
              <w:rPr>
                <w:rFonts w:ascii="Courier New" w:cs="Courier New" w:eastAsia="Courier New" w:hAnsi="Courier New"/>
                <w:sz w:val="16"/>
                <w:szCs w:val="16"/>
                <w:color w:val="auto"/>
              </w:rPr>
              <w:t>Condensed Statements of Changes in Stockholders' Equity</w:t>
            </w:r>
          </w:p>
        </w:tc>
        <w:tc>
          <w:tcPr>
            <w:tcW w:w="142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7740" w:type="dxa"/>
            <w:vAlign w:val="bottom"/>
          </w:tcPr>
          <w:p>
            <w:pPr>
              <w:ind w:left="700"/>
              <w:spacing w:after="0"/>
              <w:rPr>
                <w:sz w:val="20"/>
                <w:szCs w:val="20"/>
                <w:color w:val="auto"/>
              </w:rPr>
            </w:pPr>
            <w:r>
              <w:rPr>
                <w:rFonts w:ascii="Courier New" w:cs="Courier New" w:eastAsia="Courier New" w:hAnsi="Courier New"/>
                <w:sz w:val="16"/>
                <w:szCs w:val="16"/>
                <w:color w:val="auto"/>
              </w:rPr>
              <w:t>for the nine months ended September 30, 1996 and 1995</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w:t>
            </w:r>
          </w:p>
        </w:tc>
      </w:tr>
      <w:tr>
        <w:trPr>
          <w:trHeight w:val="379"/>
        </w:trPr>
        <w:tc>
          <w:tcPr>
            <w:tcW w:w="1380" w:type="dxa"/>
            <w:vAlign w:val="bottom"/>
          </w:tcPr>
          <w:p>
            <w:pPr>
              <w:spacing w:after="0"/>
              <w:rPr>
                <w:sz w:val="24"/>
                <w:szCs w:val="24"/>
                <w:color w:val="auto"/>
              </w:rPr>
            </w:pPr>
          </w:p>
        </w:tc>
        <w:tc>
          <w:tcPr>
            <w:tcW w:w="7740" w:type="dxa"/>
            <w:vAlign w:val="bottom"/>
          </w:tcPr>
          <w:p>
            <w:pPr>
              <w:ind w:left="400"/>
              <w:spacing w:after="0"/>
              <w:rPr>
                <w:sz w:val="20"/>
                <w:szCs w:val="20"/>
                <w:color w:val="auto"/>
              </w:rPr>
            </w:pPr>
            <w:r>
              <w:rPr>
                <w:rFonts w:ascii="Courier New" w:cs="Courier New" w:eastAsia="Courier New" w:hAnsi="Courier New"/>
                <w:sz w:val="16"/>
                <w:szCs w:val="16"/>
                <w:color w:val="auto"/>
              </w:rPr>
              <w:t>Condensed Statements of Cash Flows for the nine months</w:t>
            </w:r>
          </w:p>
        </w:tc>
        <w:tc>
          <w:tcPr>
            <w:tcW w:w="142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7740" w:type="dxa"/>
            <w:vAlign w:val="bottom"/>
          </w:tcPr>
          <w:p>
            <w:pPr>
              <w:ind w:left="700"/>
              <w:spacing w:after="0"/>
              <w:rPr>
                <w:sz w:val="20"/>
                <w:szCs w:val="20"/>
                <w:color w:val="auto"/>
              </w:rPr>
            </w:pPr>
            <w:r>
              <w:rPr>
                <w:rFonts w:ascii="Courier New" w:cs="Courier New" w:eastAsia="Courier New" w:hAnsi="Courier New"/>
                <w:sz w:val="16"/>
                <w:szCs w:val="16"/>
                <w:color w:val="auto"/>
              </w:rPr>
              <w:t>ended September 30, 1996 and 1995</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w:t>
            </w:r>
          </w:p>
        </w:tc>
      </w:tr>
      <w:tr>
        <w:trPr>
          <w:trHeight w:val="379"/>
        </w:trPr>
        <w:tc>
          <w:tcPr>
            <w:tcW w:w="1380" w:type="dxa"/>
            <w:vAlign w:val="bottom"/>
          </w:tcPr>
          <w:p>
            <w:pPr>
              <w:spacing w:after="0"/>
              <w:rPr>
                <w:sz w:val="24"/>
                <w:szCs w:val="24"/>
                <w:color w:val="auto"/>
              </w:rPr>
            </w:pPr>
          </w:p>
        </w:tc>
        <w:tc>
          <w:tcPr>
            <w:tcW w:w="7740" w:type="dxa"/>
            <w:vAlign w:val="bottom"/>
          </w:tcPr>
          <w:p>
            <w:pPr>
              <w:ind w:left="400"/>
              <w:spacing w:after="0"/>
              <w:rPr>
                <w:sz w:val="20"/>
                <w:szCs w:val="20"/>
                <w:color w:val="auto"/>
              </w:rPr>
            </w:pPr>
            <w:r>
              <w:rPr>
                <w:rFonts w:ascii="Courier New" w:cs="Courier New" w:eastAsia="Courier New" w:hAnsi="Courier New"/>
                <w:sz w:val="16"/>
                <w:szCs w:val="16"/>
                <w:color w:val="auto"/>
              </w:rPr>
              <w:t>Notes to Condensed Financial Statements</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w:t>
            </w:r>
          </w:p>
        </w:tc>
      </w:tr>
      <w:tr>
        <w:trPr>
          <w:trHeight w:val="379"/>
        </w:trPr>
        <w:tc>
          <w:tcPr>
            <w:tcW w:w="138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7740" w:type="dxa"/>
            <w:vAlign w:val="bottom"/>
          </w:tcPr>
          <w:p>
            <w:pPr>
              <w:ind w:left="40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42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7740" w:type="dxa"/>
            <w:vAlign w:val="bottom"/>
          </w:tcPr>
          <w:p>
            <w:pPr>
              <w:ind w:left="700"/>
              <w:spacing w:after="0"/>
              <w:rPr>
                <w:sz w:val="20"/>
                <w:szCs w:val="20"/>
                <w:color w:val="auto"/>
              </w:rPr>
            </w:pPr>
            <w:r>
              <w:rPr>
                <w:rFonts w:ascii="Courier New" w:cs="Courier New" w:eastAsia="Courier New" w:hAnsi="Courier New"/>
                <w:sz w:val="16"/>
                <w:szCs w:val="16"/>
                <w:color w:val="auto"/>
              </w:rPr>
              <w:t>Condition and Results of Operations</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8</w:t>
            </w:r>
          </w:p>
        </w:tc>
      </w:tr>
      <w:tr>
        <w:trPr>
          <w:trHeight w:val="569"/>
        </w:trPr>
        <w:tc>
          <w:tcPr>
            <w:tcW w:w="912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1420" w:type="dxa"/>
            <w:vAlign w:val="bottom"/>
          </w:tcPr>
          <w:p>
            <w:pPr>
              <w:spacing w:after="0"/>
              <w:rPr>
                <w:sz w:val="24"/>
                <w:szCs w:val="24"/>
                <w:color w:val="auto"/>
              </w:rPr>
            </w:pPr>
          </w:p>
        </w:tc>
      </w:tr>
      <w:tr>
        <w:trPr>
          <w:trHeight w:val="379"/>
        </w:trPr>
        <w:tc>
          <w:tcPr>
            <w:tcW w:w="13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7740" w:type="dxa"/>
            <w:vAlign w:val="bottom"/>
          </w:tcPr>
          <w:p>
            <w:pPr>
              <w:ind w:left="400"/>
              <w:spacing w:after="0"/>
              <w:rPr>
                <w:sz w:val="20"/>
                <w:szCs w:val="20"/>
                <w:color w:val="auto"/>
              </w:rPr>
            </w:pPr>
            <w:r>
              <w:rPr>
                <w:rFonts w:ascii="Courier New" w:cs="Courier New" w:eastAsia="Courier New" w:hAnsi="Courier New"/>
                <w:sz w:val="16"/>
                <w:szCs w:val="16"/>
                <w:color w:val="auto"/>
              </w:rPr>
              <w:t>Exhibits and Reports on Form 8-K</w:t>
            </w: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13</w:t>
            </w:r>
          </w:p>
        </w:tc>
      </w:tr>
      <w:tr>
        <w:trPr>
          <w:trHeight w:val="379"/>
        </w:trPr>
        <w:tc>
          <w:tcPr>
            <w:tcW w:w="138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7740" w:type="dxa"/>
            <w:vAlign w:val="bottom"/>
          </w:tcPr>
          <w:p>
            <w:pPr>
              <w:spacing w:after="0"/>
              <w:rPr>
                <w:sz w:val="24"/>
                <w:szCs w:val="24"/>
                <w:color w:val="auto"/>
              </w:rPr>
            </w:pP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540"/>
          </w:cols>
          <w:pgMar w:left="240" w:top="306" w:right="111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DOLLARS</w:t>
      </w:r>
    </w:p>
    <w:p>
      <w:pPr>
        <w:spacing w:after="0" w:line="38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3-MOS</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DEC-31-1996</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SEP-30-1996</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14,780</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(115)</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11,233</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26,470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51,908</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(19,549)</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58,965</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9,881</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146</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47,218</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47,364</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16,558</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16,558</w:t>
      </w:r>
    </w:p>
    <w:p>
      <w:pPr>
        <w:spacing w:after="0" w:line="8"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6"/>
          <w:szCs w:val="16"/>
          <w:color w:val="auto"/>
        </w:rPr>
        <w:t>10,828</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10,828</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2,089</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115</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87</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3,554</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1,359</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2,195</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2,195</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0.15</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0.15</w:t>
      </w:r>
    </w:p>
    <w:sectPr>
      <w:pgSz w:w="11900" w:h="16838" w:orient="portrait"/>
      <w:cols w:equalWidth="0" w:num="1">
        <w:col w:w="10119"/>
      </w:cols>
      <w:pgMar w:left="340" w:top="5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40"/>
    </w:lvl>
  </w:abstractNum>
  <w:abstractNum w:abstractNumId="3">
    <w:nsid w:val="41B71EFB"/>
    <w:multiLevelType w:val="hybridMultilevel"/>
    <w:lvl w:ilvl="0">
      <w:lvlJc w:val="left"/>
      <w:lvlText w:val="%1"/>
      <w:numFmt w:val="upperLetter"/>
      <w:start w:val="40"/>
    </w:lvl>
  </w:abstractNum>
  <w:abstractNum w:abstractNumId="4">
    <w:nsid w:val="79E2A9E3"/>
    <w:multiLevelType w:val="hybridMultilevel"/>
    <w:lvl w:ilvl="0">
      <w:lvlJc w:val="left"/>
      <w:lvlText w:val="%1"/>
      <w:numFmt w:val="upperLetter"/>
      <w:start w:val="40"/>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Roman"/>
      <w:start w:val="5"/>
    </w:lvl>
  </w:abstractNum>
  <w:abstractNum w:abstractNumId="9">
    <w:nsid w:val="4DB127F8"/>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2019-12-12T07:23:32Z</dcterms:created>
  <dcterms:modified xsi:type="dcterms:W3CDTF">2019-12-12T07:23:32Z</dcterms:modified>
</cp:coreProperties>
</file>