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AND EXCHANGE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06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4220" w:hanging="314"/>
        <w:spacing w:after="0"/>
        <w:tabs>
          <w:tab w:leader="none" w:pos="4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2019</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679" w:hanging="5"/>
        <w:spacing w:after="0" w:line="279" w:lineRule="auto"/>
        <w:tabs>
          <w:tab w:leader="none" w:pos="117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Private Management Group,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left="540" w:right="5899" w:hanging="532"/>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California</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2000" w:hanging="517"/>
        <w:spacing w:after="0"/>
        <w:tabs>
          <w:tab w:leader="none" w:pos="20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6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NUMBER OF SHARES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2,580,000 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6.</w:t>
        <w:tab/>
        <w:t>SHARED VOTING POWER</w:t>
      </w:r>
    </w:p>
    <w:p>
      <w:pPr>
        <w:sectPr>
          <w:pgSz w:w="11900" w:h="16865" w:orient="portrait"/>
          <w:cols w:equalWidth="0" w:num="2">
            <w:col w:w="960" w:space="520"/>
            <w:col w:w="8739"/>
          </w:cols>
          <w:pgMar w:left="240" w:top="852" w:right="1440" w:bottom="0" w:gutter="0" w:footer="0" w:header="0"/>
          <w:type w:val="continuous"/>
        </w:sectPr>
      </w:pPr>
    </w:p>
    <w:bookmarkStart w:id="1" w:name="page2"/>
    <w:bookmarkEnd w:id="1"/>
    <w:p>
      <w:pPr>
        <w:spacing w:after="0" w:line="275" w:lineRule="auto"/>
        <w:rPr>
          <w:sz w:val="20"/>
          <w:szCs w:val="20"/>
          <w:color w:val="auto"/>
        </w:rPr>
      </w:pPr>
      <w:r>
        <w:rPr>
          <w:rFonts w:ascii="Courier New" w:cs="Courier New" w:eastAsia="Courier New" w:hAnsi="Courier New"/>
          <w:sz w:val="16"/>
          <w:szCs w:val="16"/>
          <w:color w:val="auto"/>
        </w:rPr>
        <w:t>BENEFICIALLY OWNED BY EACH REPORTING 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sectPr>
          <w:pgSz w:w="11900" w:h="16838" w:orient="portrait"/>
          <w:cols w:equalWidth="0" w:num="2">
            <w:col w:w="1380" w:space="100"/>
            <w:col w:w="8739"/>
          </w:cols>
          <w:pgMar w:left="240" w:top="142" w:right="1440" w:bottom="1440" w:gutter="0" w:footer="0" w:header="0"/>
        </w:sectPr>
      </w:pPr>
    </w:p>
    <w:p>
      <w:pPr>
        <w:ind w:left="2000"/>
        <w:spacing w:after="0"/>
        <w:rPr>
          <w:sz w:val="20"/>
          <w:szCs w:val="20"/>
          <w:color w:val="auto"/>
        </w:rPr>
      </w:pPr>
      <w:r>
        <w:rPr>
          <w:rFonts w:ascii="Courier New" w:cs="Courier New" w:eastAsia="Courier New" w:hAnsi="Courier New"/>
          <w:sz w:val="18"/>
          <w:szCs w:val="18"/>
          <w:color w:val="auto"/>
        </w:rPr>
        <w:t>2,580,000 shares</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2000" w:hanging="517"/>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2,580,000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15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6210 Ardrey Kell Road</w:t>
      </w:r>
    </w:p>
    <w:p>
      <w:pPr>
        <w:ind w:left="540"/>
        <w:spacing w:after="0" w:line="238" w:lineRule="auto"/>
        <w:rPr>
          <w:sz w:val="20"/>
          <w:szCs w:val="20"/>
          <w:color w:val="auto"/>
        </w:rPr>
      </w:pPr>
      <w:r>
        <w:rPr>
          <w:rFonts w:ascii="Courier New" w:cs="Courier New" w:eastAsia="Courier New" w:hAnsi="Courier New"/>
          <w:sz w:val="18"/>
          <w:szCs w:val="18"/>
          <w:color w:val="auto"/>
        </w:rPr>
        <w:t>Charlotte, NC 28277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Private Management Group,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15635 Alton Parkway, Suite 400</w:t>
      </w:r>
    </w:p>
    <w:p>
      <w:pPr>
        <w:ind w:left="540"/>
        <w:spacing w:after="0" w:line="238" w:lineRule="auto"/>
        <w:rPr>
          <w:sz w:val="20"/>
          <w:szCs w:val="20"/>
          <w:color w:val="auto"/>
        </w:rPr>
      </w:pPr>
      <w:r>
        <w:rPr>
          <w:rFonts w:ascii="Courier New" w:cs="Courier New" w:eastAsia="Courier New" w:hAnsi="Courier New"/>
          <w:sz w:val="18"/>
          <w:szCs w:val="18"/>
          <w:color w:val="auto"/>
        </w:rPr>
        <w:t>Irvine, CA 92618</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2099" w:firstLine="527"/>
        <w:spacing w:after="0" w:line="470" w:lineRule="auto"/>
        <w:rPr>
          <w:sz w:val="20"/>
          <w:szCs w:val="20"/>
          <w:color w:val="auto"/>
        </w:rPr>
      </w:pPr>
      <w:r>
        <w:rPr>
          <w:rFonts w:ascii="Courier New" w:cs="Courier New" w:eastAsia="Courier New" w:hAnsi="Courier New"/>
          <w:sz w:val="18"/>
          <w:szCs w:val="18"/>
          <w:color w:val="auto"/>
        </w:rPr>
        <w:t>The Adviser is a corporation organized under the laws of the State of CA Item 2(d) Title of Class of Securities:</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629337106</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3. If this statement is filed pursuant to Rules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580" w:right="241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U.S.C.78o);</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U.S.C.78c);</w:t>
      </w:r>
    </w:p>
    <w:p>
      <w:pPr>
        <w:spacing w:after="0" w:line="206"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U.S.C.78c);</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U.S.C.8a-8);</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 13d-1(b)(1) (ii)(E);</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U.S.C.80a-3);</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non-U.S. institution in accordance with</w:t>
      </w:r>
    </w:p>
    <w:p>
      <w:pPr>
        <w:ind w:left="1580"/>
        <w:spacing w:after="0" w:line="238" w:lineRule="auto"/>
        <w:rPr>
          <w:sz w:val="20"/>
          <w:szCs w:val="20"/>
          <w:color w:val="auto"/>
        </w:rPr>
      </w:pPr>
      <w:r>
        <w:rPr>
          <w:rFonts w:ascii="Courier New" w:cs="Courier New" w:eastAsia="Courier New" w:hAnsi="Courier New"/>
          <w:sz w:val="18"/>
          <w:szCs w:val="18"/>
          <w:color w:val="auto"/>
        </w:rPr>
        <w:t>Section 240. 13d-1(b)(1)(ii)(J).</w:t>
      </w:r>
    </w:p>
    <w:p>
      <w:pPr>
        <w:spacing w:after="0" w:line="207" w:lineRule="exact"/>
        <w:rPr>
          <w:sz w:val="20"/>
          <w:szCs w:val="20"/>
          <w:color w:val="auto"/>
        </w:rPr>
      </w:pPr>
    </w:p>
    <w:p>
      <w:pPr>
        <w:ind w:left="1580" w:right="2519" w:hanging="1045"/>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 13d-1(b)(1)(ii)(K). If filing as a non-U.S. institution in accordance with 240.13d-1(b)(1)(ii)(J), please specify the type of institution:____________________________.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2,580,000 shares shares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580" w:right="4419" w:hanging="519"/>
        <w:spacing w:after="0" w:line="235"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2,580,000 shares</w:t>
      </w:r>
    </w:p>
    <w:p>
      <w:pPr>
        <w:spacing w:after="0" w:line="208" w:lineRule="exact"/>
        <w:rPr>
          <w:rFonts w:ascii="Courier New" w:cs="Courier New" w:eastAsia="Courier New" w:hAnsi="Courier New"/>
          <w:sz w:val="18"/>
          <w:szCs w:val="18"/>
          <w:color w:val="auto"/>
        </w:rPr>
      </w:pPr>
    </w:p>
    <w:p>
      <w:pPr>
        <w:ind w:left="1580" w:right="4199" w:hanging="519"/>
        <w:spacing w:after="0" w:line="235"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8" w:lineRule="exact"/>
        <w:rPr>
          <w:rFonts w:ascii="Courier New" w:cs="Courier New" w:eastAsia="Courier New" w:hAnsi="Courier New"/>
          <w:sz w:val="18"/>
          <w:szCs w:val="18"/>
          <w:color w:val="auto"/>
        </w:rPr>
      </w:pPr>
    </w:p>
    <w:p>
      <w:pPr>
        <w:ind w:left="1580" w:right="3039" w:hanging="624"/>
        <w:spacing w:after="0" w:line="235"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2,580,000 shares</w:t>
      </w:r>
    </w:p>
    <w:p>
      <w:pPr>
        <w:spacing w:after="0" w:line="208" w:lineRule="exact"/>
        <w:rPr>
          <w:rFonts w:ascii="Courier New" w:cs="Courier New" w:eastAsia="Courier New" w:hAnsi="Courier New"/>
          <w:sz w:val="18"/>
          <w:szCs w:val="18"/>
          <w:color w:val="auto"/>
        </w:rPr>
      </w:pPr>
    </w:p>
    <w:p>
      <w:pPr>
        <w:ind w:left="1580" w:right="2839" w:hanging="519"/>
        <w:spacing w:after="0" w:line="235"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540" w:right="219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w:t>
      </w:r>
    </w:p>
    <w:p>
      <w:pPr>
        <w:ind w:left="540" w:right="3039"/>
        <w:spacing w:after="0" w:line="235" w:lineRule="auto"/>
        <w:rPr>
          <w:sz w:val="20"/>
          <w:szCs w:val="20"/>
          <w:color w:val="auto"/>
        </w:rPr>
      </w:pPr>
      <w:r>
        <w:rPr>
          <w:rFonts w:ascii="Courier New" w:cs="Courier New" w:eastAsia="Courier New" w:hAnsi="Courier New"/>
          <w:sz w:val="18"/>
          <w:szCs w:val="18"/>
          <w:color w:val="auto"/>
        </w:rPr>
        <w:t>of more than five percent of the class of securities, check the following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Various separately managed accounts for whom the reporting person acts as investment advisor have the right to receive dividends from, and the proceeds of the sale of, the shares reported by the reporting person.</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 other than activities solely in connection with a nomination under 240.14a-11.</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6, 2020</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64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Robert T. Summers, CFA</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Robert T. Summers, CFA</w:t>
      </w:r>
    </w:p>
    <w:p>
      <w:pPr>
        <w:ind w:left="57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Private Management Group, Inc.</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22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40"/>
    </w:lvl>
  </w:abstractNum>
  <w:abstractNum w:abstractNumId="1">
    <w:nsid w:val="79E2A9E3"/>
    <w:multiLevelType w:val="hybridMultilevel"/>
    <w:lvl w:ilvl="0">
      <w:lvlJc w:val="left"/>
      <w:lvlText w:val="*"/>
      <w:numFmt w:val="bullet"/>
      <w:start w:val="1"/>
    </w:lvl>
    <w:lvl w:ilvl="1">
      <w:lvlJc w:val="left"/>
      <w:lvlText w:val="[%2]"/>
      <w:numFmt w:val="upperLetter"/>
      <w:start w:val="2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1"/>
    </w:lvl>
  </w:abstractNum>
  <w:abstractNum w:abstractNumId="12">
    <w:nsid w:val="3352255A"/>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2020-02-17T18:05:21Z</dcterms:created>
  <dcterms:modified xsi:type="dcterms:W3CDTF">2020-02-17T18:05:21Z</dcterms:modified>
</cp:coreProperties>
</file>