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HARMAN JERI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6210 ARDREY KELL ROAD</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ind w:left="369" w:hanging="369"/>
        <w:spacing w:after="0"/>
        <w:tabs>
          <w:tab w:leader="none" w:pos="369" w:val="left"/>
        </w:tabs>
        <w:numPr>
          <w:ilvl w:val="0"/>
          <w:numId w:val="1"/>
        </w:numPr>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NNBR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ind w:left="9"/>
        <w:spacing w:after="0"/>
        <w:rPr>
          <w:sz w:val="20"/>
          <w:szCs w:val="20"/>
          <w:color w:val="auto"/>
        </w:rPr>
      </w:pPr>
      <w:r>
        <w:rPr>
          <w:rFonts w:ascii="Times New Roman" w:cs="Times New Roman" w:eastAsia="Times New Roman" w:hAnsi="Times New Roman"/>
          <w:sz w:val="17"/>
          <w:szCs w:val="17"/>
          <w:color w:val="0000FF"/>
        </w:rPr>
        <w:t>05/13/2025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191" w:space="720"/>
            <w:col w:w="3104"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CHARLOTTE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NC</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28277</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05/13/2025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10,288</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2</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377,376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360" w:firstLine="7"/>
        <w:spacing w:after="0" w:line="253"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The specific price range of the transactions is not available. The Reporting Person undertakes to provide to the Issuer, any security holder of the Issuer or the staff of the Securities and Exchange Commission, upon request, full information regarding the number of shares purchased at each separate transaction price.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Jami Statham, by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01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1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60" w:space="12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68314" TargetMode="External"/><Relationship Id="rId14"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2025-05-14T20:10:38Z</dcterms:created>
  <dcterms:modified xsi:type="dcterms:W3CDTF">2025-05-14T20:10:38Z</dcterms:modified>
</cp:coreProperties>
</file>