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3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208915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739"/>
        <w:spacing w:after="0"/>
        <w:rPr>
          <w:sz w:val="20"/>
          <w:szCs w:val="20"/>
          <w:color w:val="auto"/>
        </w:rPr>
      </w:pPr>
      <w:r>
        <w:rPr>
          <w:rFonts w:ascii="Arial" w:cs="Arial" w:eastAsia="Arial" w:hAnsi="Arial"/>
          <w:sz w:val="32"/>
          <w:szCs w:val="32"/>
          <w:b w:val="1"/>
          <w:bCs w:val="1"/>
          <w:color w:val="auto"/>
        </w:rPr>
        <w:t>SECURITIES AND EXCHANGE COMMISSION</w:t>
      </w:r>
    </w:p>
    <w:p>
      <w:pPr>
        <w:ind w:left="4140"/>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2577465</wp:posOffset>
            </wp:positionH>
            <wp:positionV relativeFrom="paragraph">
              <wp:posOffset>219075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13" w:lineRule="exact"/>
        <w:rPr>
          <w:sz w:val="24"/>
          <w:szCs w:val="24"/>
          <w:color w:val="auto"/>
        </w:rPr>
      </w:pPr>
    </w:p>
    <w:p>
      <w:pPr>
        <w:ind w:left="4260"/>
        <w:spacing w:after="0"/>
        <w:rPr>
          <w:sz w:val="20"/>
          <w:szCs w:val="20"/>
          <w:color w:val="auto"/>
        </w:rPr>
      </w:pPr>
      <w:r>
        <w:rPr>
          <w:rFonts w:ascii="Arial" w:cs="Arial" w:eastAsia="Arial" w:hAnsi="Arial"/>
          <w:sz w:val="32"/>
          <w:szCs w:val="32"/>
          <w:b w:val="1"/>
          <w:bCs w:val="1"/>
          <w:color w:val="auto"/>
        </w:rPr>
        <w:t>FORM 12b-25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2577465</wp:posOffset>
            </wp:positionH>
            <wp:positionV relativeFrom="paragraph">
              <wp:posOffset>255270</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85" w:lineRule="exact"/>
        <w:rPr>
          <w:sz w:val="24"/>
          <w:szCs w:val="24"/>
          <w:color w:val="auto"/>
        </w:rPr>
      </w:pPr>
    </w:p>
    <w:p>
      <w:pPr>
        <w:jc w:val="center"/>
        <w:ind w:right="-739"/>
        <w:spacing w:after="0"/>
        <w:rPr>
          <w:sz w:val="20"/>
          <w:szCs w:val="20"/>
          <w:color w:val="auto"/>
        </w:rPr>
      </w:pPr>
      <w:r>
        <w:rPr>
          <w:rFonts w:ascii="Arial" w:cs="Arial" w:eastAsia="Arial" w:hAnsi="Arial"/>
          <w:sz w:val="22"/>
          <w:szCs w:val="22"/>
          <w:b w:val="1"/>
          <w:bCs w:val="1"/>
          <w:color w:val="auto"/>
        </w:rPr>
        <w:t>NOTIFICATION OF LATE FILING</w:t>
      </w:r>
    </w:p>
    <w:p>
      <w:pPr>
        <w:spacing w:after="0" w:line="214" w:lineRule="exact"/>
        <w:rPr>
          <w:sz w:val="24"/>
          <w:szCs w:val="24"/>
          <w:color w:val="auto"/>
        </w:rPr>
      </w:pPr>
    </w:p>
    <w:p>
      <w:pPr>
        <w:ind w:left="1640"/>
        <w:spacing w:after="0" w:line="207" w:lineRule="exact"/>
        <w:tabs>
          <w:tab w:leader="none" w:pos="2860" w:val="left"/>
          <w:tab w:leader="none" w:pos="4140" w:val="left"/>
          <w:tab w:leader="none" w:pos="5380" w:val="left"/>
          <w:tab w:leader="none" w:pos="6660" w:val="left"/>
        </w:tabs>
        <w:rPr>
          <w:sz w:val="20"/>
          <w:szCs w:val="20"/>
          <w:color w:val="auto"/>
        </w:rPr>
      </w:pPr>
      <w:r>
        <w:rPr>
          <w:rFonts w:ascii="Arial" w:cs="Arial" w:eastAsia="Arial" w:hAnsi="Arial"/>
          <w:sz w:val="18"/>
          <w:szCs w:val="18"/>
          <w:i w:val="1"/>
          <w:iCs w:val="1"/>
          <w:color w:val="auto"/>
        </w:rPr>
        <w:t>(Check one)</w:t>
      </w:r>
      <w:r>
        <w:rPr>
          <w:rFonts w:ascii="Arial" w:cs="Arial" w:eastAsia="Arial" w:hAnsi="Arial"/>
          <w:sz w:val="18"/>
          <w:szCs w:val="18"/>
          <w:color w:val="auto"/>
        </w:rPr>
        <w:t>:</w:t>
      </w:r>
      <w:r>
        <w:rPr>
          <w:sz w:val="20"/>
          <w:szCs w:val="20"/>
          <w:color w:val="auto"/>
        </w:rPr>
        <w:tab/>
      </w:r>
      <w:r>
        <w:rPr>
          <w:rFonts w:ascii="MS PGothic" w:cs="MS PGothic" w:eastAsia="MS PGothic" w:hAnsi="MS PGothic"/>
          <w:sz w:val="18"/>
          <w:szCs w:val="18"/>
          <w:color w:val="auto"/>
        </w:rPr>
        <w:t xml:space="preserve">☐ </w:t>
      </w:r>
      <w:r>
        <w:rPr>
          <w:rFonts w:ascii="Arial" w:cs="Arial" w:eastAsia="Arial" w:hAnsi="Arial"/>
          <w:sz w:val="18"/>
          <w:szCs w:val="18"/>
          <w:color w:val="auto"/>
        </w:rPr>
        <w:t>Form 10-K</w:t>
      </w:r>
      <w:r>
        <w:rPr>
          <w:rFonts w:ascii="MS PGothic" w:cs="MS PGothic" w:eastAsia="MS PGothic" w:hAnsi="MS PGothic"/>
          <w:sz w:val="18"/>
          <w:szCs w:val="18"/>
          <w:color w:val="auto"/>
        </w:rPr>
        <w:tab/>
        <w:t xml:space="preserve">☐ </w:t>
      </w:r>
      <w:r>
        <w:rPr>
          <w:rFonts w:ascii="Arial" w:cs="Arial" w:eastAsia="Arial" w:hAnsi="Arial"/>
          <w:sz w:val="18"/>
          <w:szCs w:val="18"/>
          <w:color w:val="auto"/>
        </w:rPr>
        <w:t>Form 20-F</w:t>
      </w:r>
      <w:r>
        <w:rPr>
          <w:rFonts w:ascii="MS PGothic" w:cs="MS PGothic" w:eastAsia="MS PGothic" w:hAnsi="MS PGothic"/>
          <w:sz w:val="18"/>
          <w:szCs w:val="18"/>
          <w:color w:val="auto"/>
        </w:rPr>
        <w:tab/>
        <w:t xml:space="preserve">☐ </w:t>
      </w:r>
      <w:r>
        <w:rPr>
          <w:rFonts w:ascii="Arial" w:cs="Arial" w:eastAsia="Arial" w:hAnsi="Arial"/>
          <w:sz w:val="18"/>
          <w:szCs w:val="18"/>
          <w:color w:val="auto"/>
        </w:rPr>
        <w:t>Form 11-K</w:t>
      </w:r>
      <w:r>
        <w:rPr>
          <w:sz w:val="20"/>
          <w:szCs w:val="20"/>
          <w:color w:val="auto"/>
        </w:rPr>
        <w:tab/>
      </w:r>
      <w:r>
        <w:rPr>
          <w:rFonts w:ascii="MS PGothic" w:cs="MS PGothic" w:eastAsia="MS PGothic" w:hAnsi="MS PGothic"/>
          <w:sz w:val="17"/>
          <w:szCs w:val="17"/>
          <w:color w:val="auto"/>
        </w:rPr>
        <w:t xml:space="preserve">☒ </w:t>
      </w:r>
      <w:r>
        <w:rPr>
          <w:rFonts w:ascii="Arial" w:cs="Arial" w:eastAsia="Arial" w:hAnsi="Arial"/>
          <w:sz w:val="17"/>
          <w:szCs w:val="17"/>
          <w:color w:val="auto"/>
        </w:rPr>
        <w:t>Form 10-Q</w:t>
      </w:r>
      <w:r>
        <w:rPr>
          <w:rFonts w:ascii="MS PGothic" w:cs="MS PGothic" w:eastAsia="MS PGothic" w:hAnsi="MS PGothic"/>
          <w:sz w:val="17"/>
          <w:szCs w:val="17"/>
          <w:color w:val="auto"/>
        </w:rPr>
        <w:t xml:space="preserve">  ☐ </w:t>
      </w:r>
      <w:r>
        <w:rPr>
          <w:rFonts w:ascii="Arial" w:cs="Arial" w:eastAsia="Arial" w:hAnsi="Arial"/>
          <w:sz w:val="17"/>
          <w:szCs w:val="17"/>
          <w:color w:val="auto"/>
        </w:rPr>
        <w:t>Form 10-D</w:t>
      </w:r>
    </w:p>
    <w:p>
      <w:pPr>
        <w:spacing w:after="0" w:line="51" w:lineRule="exact"/>
        <w:rPr>
          <w:sz w:val="24"/>
          <w:szCs w:val="24"/>
          <w:color w:val="auto"/>
        </w:rPr>
      </w:pPr>
    </w:p>
    <w:p>
      <w:pPr>
        <w:ind w:left="2880" w:right="4240" w:hanging="10"/>
        <w:spacing w:after="0" w:line="333" w:lineRule="exact"/>
        <w:tabs>
          <w:tab w:leader="none" w:pos="3132"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 xml:space="preserve">Form N-SAR </w:t>
      </w:r>
      <w:r>
        <w:rPr>
          <w:rFonts w:ascii="MS PGothic" w:cs="MS PGothic" w:eastAsia="MS PGothic" w:hAnsi="MS PGothic"/>
          <w:sz w:val="18"/>
          <w:szCs w:val="18"/>
          <w:color w:val="auto"/>
        </w:rPr>
        <w:t>☐</w:t>
      </w:r>
      <w:r>
        <w:rPr>
          <w:rFonts w:ascii="Arial" w:cs="Arial" w:eastAsia="Arial" w:hAnsi="Arial"/>
          <w:sz w:val="18"/>
          <w:szCs w:val="18"/>
          <w:color w:val="auto"/>
        </w:rPr>
        <w:t xml:space="preserve"> Form N-CSR For Period Ended: </w:t>
      </w:r>
      <w:r>
        <w:rPr>
          <w:rFonts w:ascii="Arial" w:cs="Arial" w:eastAsia="Arial" w:hAnsi="Arial"/>
          <w:sz w:val="18"/>
          <w:szCs w:val="18"/>
          <w:u w:val="single" w:color="auto"/>
          <w:color w:val="auto"/>
        </w:rPr>
        <w:t>June 30, 2017</w:t>
      </w:r>
    </w:p>
    <w:p>
      <w:pPr>
        <w:spacing w:after="0" w:line="202" w:lineRule="exact"/>
        <w:rPr>
          <w:rFonts w:ascii="MS PGothic" w:cs="MS PGothic" w:eastAsia="MS PGothic" w:hAnsi="MS PGothic"/>
          <w:sz w:val="18"/>
          <w:szCs w:val="18"/>
          <w:color w:val="auto"/>
        </w:rPr>
      </w:pPr>
    </w:p>
    <w:p>
      <w:pPr>
        <w:ind w:left="3120" w:hanging="250"/>
        <w:spacing w:after="0"/>
        <w:tabs>
          <w:tab w:leader="none" w:pos="31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Transition Report on Form 10-K</w:t>
      </w:r>
    </w:p>
    <w:p>
      <w:pPr>
        <w:spacing w:after="0" w:line="25" w:lineRule="exact"/>
        <w:rPr>
          <w:rFonts w:ascii="MS PGothic" w:cs="MS PGothic" w:eastAsia="MS PGothic" w:hAnsi="MS PGothic"/>
          <w:sz w:val="18"/>
          <w:szCs w:val="18"/>
          <w:color w:val="auto"/>
        </w:rPr>
      </w:pPr>
    </w:p>
    <w:p>
      <w:pPr>
        <w:ind w:left="3120" w:hanging="250"/>
        <w:spacing w:after="0"/>
        <w:tabs>
          <w:tab w:leader="none" w:pos="31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Transition Report on Form 20-F</w:t>
      </w:r>
    </w:p>
    <w:p>
      <w:pPr>
        <w:spacing w:after="0" w:line="9" w:lineRule="exact"/>
        <w:rPr>
          <w:rFonts w:ascii="MS PGothic" w:cs="MS PGothic" w:eastAsia="MS PGothic" w:hAnsi="MS PGothic"/>
          <w:sz w:val="18"/>
          <w:szCs w:val="18"/>
          <w:color w:val="auto"/>
        </w:rPr>
      </w:pPr>
    </w:p>
    <w:p>
      <w:pPr>
        <w:ind w:left="3120" w:hanging="250"/>
        <w:spacing w:after="0"/>
        <w:tabs>
          <w:tab w:leader="none" w:pos="31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Transition Report on Form 11-K</w:t>
      </w:r>
    </w:p>
    <w:p>
      <w:pPr>
        <w:spacing w:after="0" w:line="9" w:lineRule="exact"/>
        <w:rPr>
          <w:rFonts w:ascii="MS PGothic" w:cs="MS PGothic" w:eastAsia="MS PGothic" w:hAnsi="MS PGothic"/>
          <w:sz w:val="18"/>
          <w:szCs w:val="18"/>
          <w:color w:val="auto"/>
        </w:rPr>
      </w:pPr>
    </w:p>
    <w:p>
      <w:pPr>
        <w:ind w:left="3120" w:hanging="250"/>
        <w:spacing w:after="0"/>
        <w:tabs>
          <w:tab w:leader="none" w:pos="31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Transition Report on Form 10-Q</w:t>
      </w:r>
    </w:p>
    <w:p>
      <w:pPr>
        <w:spacing w:after="0" w:line="9" w:lineRule="exact"/>
        <w:rPr>
          <w:rFonts w:ascii="MS PGothic" w:cs="MS PGothic" w:eastAsia="MS PGothic" w:hAnsi="MS PGothic"/>
          <w:sz w:val="18"/>
          <w:szCs w:val="18"/>
          <w:color w:val="auto"/>
        </w:rPr>
      </w:pPr>
    </w:p>
    <w:p>
      <w:pPr>
        <w:ind w:left="2880" w:right="4140" w:hanging="10"/>
        <w:spacing w:after="0" w:line="579" w:lineRule="auto"/>
        <w:tabs>
          <w:tab w:leader="none" w:pos="3129"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Transition Report on Form N-SAR For the Transition Period Ended: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3349625</wp:posOffset>
            </wp:positionH>
            <wp:positionV relativeFrom="paragraph">
              <wp:posOffset>-178435</wp:posOffset>
            </wp:positionV>
            <wp:extent cx="2914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914650" cy="8890"/>
                    </a:xfrm>
                    <a:prstGeom prst="rect">
                      <a:avLst/>
                    </a:prstGeom>
                    <a:noFill/>
                  </pic:spPr>
                </pic:pic>
              </a:graphicData>
            </a:graphic>
          </wp:anchor>
        </w:drawing>
      </w:r>
    </w:p>
    <w:p>
      <w:pPr>
        <w:jc w:val="center"/>
        <w:ind w:right="-859"/>
        <w:spacing w:after="0"/>
        <w:rPr>
          <w:sz w:val="20"/>
          <w:szCs w:val="20"/>
          <w:color w:val="auto"/>
        </w:rPr>
      </w:pPr>
      <w:r>
        <w:rPr>
          <w:rFonts w:ascii="Arial" w:cs="Arial" w:eastAsia="Arial" w:hAnsi="Arial"/>
          <w:sz w:val="18"/>
          <w:szCs w:val="18"/>
          <w:i w:val="1"/>
          <w:iCs w:val="1"/>
          <w:color w:val="auto"/>
        </w:rPr>
        <w:t>Read Instruction (on back page) Before Preparing Form. Please Print or Type.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-286385</wp:posOffset>
            </wp:positionH>
            <wp:positionV relativeFrom="paragraph">
              <wp:posOffset>-130175</wp:posOffset>
            </wp:positionV>
            <wp:extent cx="7254875" cy="3003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4875" cy="300355"/>
                    </a:xfrm>
                    <a:prstGeom prst="rect">
                      <a:avLst/>
                    </a:prstGeom>
                    <a:noFill/>
                  </pic:spPr>
                </pic:pic>
              </a:graphicData>
            </a:graphic>
          </wp:anchor>
        </w:drawing>
      </w:r>
    </w:p>
    <w:p>
      <w:pPr>
        <w:spacing w:after="0" w:line="3" w:lineRule="exact"/>
        <w:rPr>
          <w:sz w:val="24"/>
          <w:szCs w:val="24"/>
          <w:color w:val="auto"/>
        </w:rPr>
      </w:pPr>
    </w:p>
    <w:p>
      <w:pPr>
        <w:jc w:val="center"/>
        <w:ind w:right="-859"/>
        <w:spacing w:after="0"/>
        <w:rPr>
          <w:sz w:val="20"/>
          <w:szCs w:val="20"/>
          <w:color w:val="auto"/>
        </w:rPr>
      </w:pPr>
      <w:r>
        <w:rPr>
          <w:rFonts w:ascii="Arial" w:cs="Arial" w:eastAsia="Arial" w:hAnsi="Arial"/>
          <w:sz w:val="16"/>
          <w:szCs w:val="16"/>
          <w:b w:val="1"/>
          <w:bCs w:val="1"/>
          <w:color w:val="auto"/>
        </w:rPr>
        <w:t>Nothing in this form shall be construed to imply that the Commission has verified any information contained herein.</w:t>
      </w:r>
    </w:p>
    <w:p>
      <w:pPr>
        <w:spacing w:after="0" w:line="261" w:lineRule="exact"/>
        <w:rPr>
          <w:sz w:val="24"/>
          <w:szCs w:val="24"/>
          <w:color w:val="auto"/>
        </w:rPr>
      </w:pPr>
    </w:p>
    <w:p>
      <w:pPr>
        <w:spacing w:after="0"/>
        <w:rPr>
          <w:sz w:val="20"/>
          <w:szCs w:val="20"/>
          <w:color w:val="auto"/>
        </w:rPr>
      </w:pPr>
      <w:r>
        <w:rPr>
          <w:rFonts w:ascii="Arial" w:cs="Arial" w:eastAsia="Arial" w:hAnsi="Arial"/>
          <w:sz w:val="18"/>
          <w:szCs w:val="18"/>
          <w:color w:val="auto"/>
        </w:rPr>
        <w:t>If the notification relates to a portion of the filing checked above, identify the Item(s) to which the notification relates: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-286385</wp:posOffset>
            </wp:positionH>
            <wp:positionV relativeFrom="paragraph">
              <wp:posOffset>417830</wp:posOffset>
            </wp:positionV>
            <wp:extent cx="72466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63" w:lineRule="exact"/>
        <w:rPr>
          <w:sz w:val="24"/>
          <w:szCs w:val="24"/>
          <w:color w:val="auto"/>
        </w:rPr>
      </w:pPr>
    </w:p>
    <w:p>
      <w:pPr>
        <w:ind w:left="3540"/>
        <w:spacing w:after="0"/>
        <w:rPr>
          <w:sz w:val="20"/>
          <w:szCs w:val="20"/>
          <w:color w:val="auto"/>
        </w:rPr>
      </w:pPr>
      <w:r>
        <w:rPr>
          <w:rFonts w:ascii="Arial" w:cs="Arial" w:eastAsia="Arial" w:hAnsi="Arial"/>
          <w:sz w:val="18"/>
          <w:szCs w:val="18"/>
          <w:b w:val="1"/>
          <w:bCs w:val="1"/>
          <w:color w:val="auto"/>
        </w:rPr>
        <w:t>PART I — REGISTRANT INFORMATION</w:t>
      </w:r>
    </w:p>
    <w:p>
      <w:pPr>
        <w:spacing w:after="0" w:line="200" w:lineRule="exact"/>
        <w:rPr>
          <w:sz w:val="24"/>
          <w:szCs w:val="24"/>
          <w:color w:val="auto"/>
        </w:rPr>
      </w:pPr>
    </w:p>
    <w:p>
      <w:pPr>
        <w:spacing w:after="0" w:line="212" w:lineRule="exact"/>
        <w:rPr>
          <w:sz w:val="24"/>
          <w:szCs w:val="24"/>
          <w:color w:val="auto"/>
        </w:rPr>
      </w:pPr>
    </w:p>
    <w:p>
      <w:pPr>
        <w:jc w:val="center"/>
        <w:ind w:right="-739"/>
        <w:spacing w:after="0"/>
        <w:rPr>
          <w:sz w:val="20"/>
          <w:szCs w:val="20"/>
          <w:color w:val="auto"/>
        </w:rPr>
      </w:pPr>
      <w:r>
        <w:rPr>
          <w:rFonts w:ascii="Arial" w:cs="Arial" w:eastAsia="Arial" w:hAnsi="Arial"/>
          <w:sz w:val="40"/>
          <w:szCs w:val="40"/>
          <w:b w:val="1"/>
          <w:bCs w:val="1"/>
          <w:color w:val="auto"/>
        </w:rPr>
        <w:t>NN, Inc.</w:t>
      </w:r>
    </w:p>
    <w:p>
      <w:pPr>
        <w:spacing w:after="0" w:line="35" w:lineRule="exact"/>
        <w:rPr>
          <w:sz w:val="24"/>
          <w:szCs w:val="24"/>
          <w:color w:val="auto"/>
        </w:rPr>
      </w:pPr>
    </w:p>
    <w:p>
      <w:pPr>
        <w:ind w:left="4320"/>
        <w:spacing w:after="0"/>
        <w:rPr>
          <w:sz w:val="20"/>
          <w:szCs w:val="20"/>
          <w:color w:val="auto"/>
        </w:rPr>
      </w:pPr>
      <w:r>
        <w:rPr>
          <w:rFonts w:ascii="Arial" w:cs="Arial" w:eastAsia="Arial" w:hAnsi="Arial"/>
          <w:sz w:val="18"/>
          <w:szCs w:val="18"/>
          <w:b w:val="1"/>
          <w:bCs w:val="1"/>
          <w:color w:val="auto"/>
        </w:rPr>
        <w:t>Full Name of Registrant</w:t>
      </w:r>
    </w:p>
    <w:p>
      <w:pPr>
        <w:spacing w:after="0" w:line="200" w:lineRule="exact"/>
        <w:rPr>
          <w:sz w:val="24"/>
          <w:szCs w:val="24"/>
          <w:color w:val="auto"/>
        </w:rPr>
      </w:pPr>
    </w:p>
    <w:p>
      <w:pPr>
        <w:spacing w:after="0" w:line="284" w:lineRule="exact"/>
        <w:rPr>
          <w:sz w:val="24"/>
          <w:szCs w:val="24"/>
          <w:color w:val="auto"/>
        </w:rPr>
      </w:pPr>
    </w:p>
    <w:p>
      <w:pPr>
        <w:ind w:left="4400"/>
        <w:spacing w:after="0"/>
        <w:rPr>
          <w:sz w:val="20"/>
          <w:szCs w:val="20"/>
          <w:color w:val="auto"/>
        </w:rPr>
      </w:pPr>
      <w:r>
        <w:rPr>
          <w:rFonts w:ascii="Arial" w:cs="Arial" w:eastAsia="Arial" w:hAnsi="Arial"/>
          <w:sz w:val="14"/>
          <w:szCs w:val="14"/>
          <w:b w:val="1"/>
          <w:bCs w:val="1"/>
          <w:color w:val="auto"/>
        </w:rPr>
        <w:t>Former Name if Applicable</w:t>
      </w:r>
    </w:p>
    <w:p>
      <w:pPr>
        <w:spacing w:after="0" w:line="200" w:lineRule="exact"/>
        <w:rPr>
          <w:sz w:val="24"/>
          <w:szCs w:val="24"/>
          <w:color w:val="auto"/>
        </w:rPr>
      </w:pPr>
    </w:p>
    <w:p>
      <w:pPr>
        <w:spacing w:after="0" w:line="224" w:lineRule="exact"/>
        <w:rPr>
          <w:sz w:val="24"/>
          <w:szCs w:val="24"/>
          <w:color w:val="auto"/>
        </w:rPr>
      </w:pPr>
    </w:p>
    <w:p>
      <w:pPr>
        <w:jc w:val="center"/>
        <w:ind w:right="-739"/>
        <w:spacing w:after="0"/>
        <w:rPr>
          <w:sz w:val="20"/>
          <w:szCs w:val="20"/>
          <w:color w:val="auto"/>
        </w:rPr>
      </w:pPr>
      <w:r>
        <w:rPr>
          <w:rFonts w:ascii="Arial" w:cs="Arial" w:eastAsia="Arial" w:hAnsi="Arial"/>
          <w:sz w:val="18"/>
          <w:szCs w:val="18"/>
          <w:b w:val="1"/>
          <w:bCs w:val="1"/>
          <w:color w:val="auto"/>
        </w:rPr>
        <w:t>207 Mockingbird Lane</w:t>
      </w:r>
    </w:p>
    <w:p>
      <w:pPr>
        <w:spacing w:after="0" w:line="21" w:lineRule="exact"/>
        <w:rPr>
          <w:sz w:val="24"/>
          <w:szCs w:val="24"/>
          <w:color w:val="auto"/>
        </w:rPr>
      </w:pPr>
    </w:p>
    <w:p>
      <w:pPr>
        <w:ind w:left="3480"/>
        <w:spacing w:after="0"/>
        <w:rPr>
          <w:sz w:val="20"/>
          <w:szCs w:val="20"/>
          <w:color w:val="auto"/>
        </w:rPr>
      </w:pPr>
      <w:r>
        <w:rPr>
          <w:rFonts w:ascii="Arial" w:cs="Arial" w:eastAsia="Arial" w:hAnsi="Arial"/>
          <w:sz w:val="14"/>
          <w:szCs w:val="14"/>
          <w:b w:val="1"/>
          <w:bCs w:val="1"/>
          <w:color w:val="auto"/>
        </w:rPr>
        <w:t>Address of Principal Executive Office (</w:t>
      </w:r>
      <w:r>
        <w:rPr>
          <w:rFonts w:ascii="Arial" w:cs="Arial" w:eastAsia="Arial" w:hAnsi="Arial"/>
          <w:sz w:val="14"/>
          <w:szCs w:val="14"/>
          <w:b w:val="1"/>
          <w:bCs w:val="1"/>
          <w:i w:val="1"/>
          <w:iCs w:val="1"/>
          <w:color w:val="auto"/>
        </w:rPr>
        <w:t>Street and Number</w:t>
      </w:r>
      <w:r>
        <w:rPr>
          <w:rFonts w:ascii="Arial" w:cs="Arial" w:eastAsia="Arial" w:hAnsi="Arial"/>
          <w:sz w:val="14"/>
          <w:szCs w:val="14"/>
          <w:b w:val="1"/>
          <w:bCs w:val="1"/>
          <w:color w:val="auto"/>
        </w:rPr>
        <w:t>)</w:t>
      </w:r>
    </w:p>
    <w:p>
      <w:pPr>
        <w:spacing w:after="0" w:line="200" w:lineRule="exact"/>
        <w:rPr>
          <w:sz w:val="24"/>
          <w:szCs w:val="24"/>
          <w:color w:val="auto"/>
        </w:rPr>
      </w:pPr>
    </w:p>
    <w:p>
      <w:pPr>
        <w:spacing w:after="0" w:line="208" w:lineRule="exact"/>
        <w:rPr>
          <w:sz w:val="24"/>
          <w:szCs w:val="24"/>
          <w:color w:val="auto"/>
        </w:rPr>
      </w:pPr>
    </w:p>
    <w:p>
      <w:pPr>
        <w:jc w:val="center"/>
        <w:ind w:right="-739"/>
        <w:spacing w:after="0"/>
        <w:rPr>
          <w:sz w:val="20"/>
          <w:szCs w:val="20"/>
          <w:color w:val="auto"/>
        </w:rPr>
      </w:pPr>
      <w:r>
        <w:rPr>
          <w:rFonts w:ascii="Arial" w:cs="Arial" w:eastAsia="Arial" w:hAnsi="Arial"/>
          <w:sz w:val="18"/>
          <w:szCs w:val="18"/>
          <w:b w:val="1"/>
          <w:bCs w:val="1"/>
          <w:color w:val="auto"/>
        </w:rPr>
        <w:t>Johnson City, Tennessee 37604</w:t>
      </w:r>
    </w:p>
    <w:p>
      <w:pPr>
        <w:spacing w:after="0" w:line="21" w:lineRule="exact"/>
        <w:rPr>
          <w:sz w:val="24"/>
          <w:szCs w:val="24"/>
          <w:color w:val="auto"/>
        </w:rPr>
      </w:pPr>
    </w:p>
    <w:p>
      <w:pPr>
        <w:ind w:left="4500"/>
        <w:spacing w:after="0"/>
        <w:rPr>
          <w:sz w:val="20"/>
          <w:szCs w:val="20"/>
          <w:color w:val="auto"/>
        </w:rPr>
      </w:pPr>
      <w:r>
        <w:rPr>
          <w:rFonts w:ascii="Arial" w:cs="Arial" w:eastAsia="Arial" w:hAnsi="Arial"/>
          <w:sz w:val="14"/>
          <w:szCs w:val="14"/>
          <w:b w:val="1"/>
          <w:bCs w:val="1"/>
          <w:color w:val="auto"/>
        </w:rPr>
        <w:t>City, State and Zip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-286385</wp:posOffset>
            </wp:positionH>
            <wp:positionV relativeFrom="paragraph">
              <wp:posOffset>167640</wp:posOffset>
            </wp:positionV>
            <wp:extent cx="72466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9780"/>
          </w:cols>
          <w:pgMar w:left="700" w:top="517" w:right="1419" w:bottom="1440" w:gutter="0" w:footer="0" w:header="0"/>
        </w:sectPr>
      </w:pPr>
    </w:p>
    <w:bookmarkStart w:id="1" w:name="page2"/>
    <w:bookmarkEnd w:id="1"/>
    <w:p>
      <w:pPr>
        <w:jc w:val="center"/>
        <w:ind w:right="-1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PART II — RULES 12b-25(b) AND (c)</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If the subject report could not be filed without unreasonable effort or expense and the registrant seeks relief pursuant to Rule 12b-25(b), the following should be completed. (Check box if appropriate)</w:t>
      </w:r>
    </w:p>
    <w:p>
      <w:pPr>
        <w:spacing w:after="0" w:line="197" w:lineRule="exact"/>
        <w:rPr>
          <w:sz w:val="20"/>
          <w:szCs w:val="20"/>
          <w:color w:val="auto"/>
        </w:rPr>
      </w:pPr>
    </w:p>
    <w:p>
      <w:pPr>
        <w:ind w:left="880" w:hanging="363"/>
        <w:spacing w:after="0"/>
        <w:tabs>
          <w:tab w:leader="none" w:pos="880" w:val="left"/>
        </w:tabs>
        <w:numPr>
          <w:ilvl w:val="1"/>
          <w:numId w:val="2"/>
        </w:numPr>
        <w:rPr>
          <w:rFonts w:ascii="Arial" w:cs="Arial" w:eastAsia="Arial" w:hAnsi="Arial"/>
          <w:sz w:val="18"/>
          <w:szCs w:val="18"/>
          <w:color w:val="auto"/>
        </w:rPr>
      </w:pPr>
      <w:r>
        <w:rPr>
          <w:rFonts w:ascii="Arial" w:cs="Arial" w:eastAsia="Arial" w:hAnsi="Arial"/>
          <w:sz w:val="18"/>
          <w:szCs w:val="18"/>
          <w:color w:val="auto"/>
        </w:rPr>
        <w:t>The reason described in reasonable detail in Part III of this form could not be eliminated without unreasonable effort or expense;</w:t>
      </w:r>
    </w:p>
    <w:p>
      <w:pPr>
        <w:spacing w:after="0" w:line="144" w:lineRule="exact"/>
        <w:rPr>
          <w:rFonts w:ascii="Arial" w:cs="Arial" w:eastAsia="Arial" w:hAnsi="Arial"/>
          <w:sz w:val="18"/>
          <w:szCs w:val="18"/>
          <w:color w:val="auto"/>
        </w:rPr>
      </w:pPr>
    </w:p>
    <w:p>
      <w:pPr>
        <w:ind w:left="880" w:hanging="374"/>
        <w:spacing w:after="0"/>
        <w:tabs>
          <w:tab w:leader="none" w:pos="880" w:val="left"/>
        </w:tabs>
        <w:numPr>
          <w:ilvl w:val="1"/>
          <w:numId w:val="2"/>
        </w:numPr>
        <w:rPr>
          <w:rFonts w:ascii="Arial" w:cs="Arial" w:eastAsia="Arial" w:hAnsi="Arial"/>
          <w:sz w:val="16"/>
          <w:szCs w:val="16"/>
          <w:color w:val="auto"/>
        </w:rPr>
      </w:pPr>
      <w:r>
        <w:rPr>
          <w:rFonts w:ascii="Arial" w:cs="Arial" w:eastAsia="Arial" w:hAnsi="Arial"/>
          <w:sz w:val="16"/>
          <w:szCs w:val="16"/>
          <w:color w:val="auto"/>
        </w:rPr>
        <w:t>The subject annual report, semi-annual report, transition report on Form 10-K, Form 20-F, Form 11-K, Form N-SAR or Form N-CSR, or portion</w:t>
      </w:r>
    </w:p>
    <w:p>
      <w:pPr>
        <w:spacing w:after="0" w:line="46" w:lineRule="exact"/>
        <w:rPr>
          <w:rFonts w:ascii="Arial" w:cs="Arial" w:eastAsia="Arial" w:hAnsi="Arial"/>
          <w:sz w:val="16"/>
          <w:szCs w:val="16"/>
          <w:color w:val="auto"/>
        </w:rPr>
      </w:pPr>
    </w:p>
    <w:p>
      <w:pPr>
        <w:ind w:left="880" w:right="100" w:hanging="872"/>
        <w:spacing w:after="0" w:line="201" w:lineRule="auto"/>
        <w:tabs>
          <w:tab w:leader="none" w:pos="880" w:val="left"/>
        </w:tabs>
        <w:numPr>
          <w:ilvl w:val="0"/>
          <w:numId w:val="2"/>
        </w:numPr>
        <w:rPr>
          <w:rFonts w:ascii="MS PGothic" w:cs="MS PGothic" w:eastAsia="MS PGothic" w:hAnsi="MS PGothic"/>
          <w:sz w:val="36"/>
          <w:szCs w:val="36"/>
          <w:color w:val="auto"/>
          <w:vertAlign w:val="subscript"/>
        </w:rPr>
      </w:pPr>
      <w:r>
        <w:rPr>
          <w:rFonts w:ascii="Arial" w:cs="Arial" w:eastAsia="Arial" w:hAnsi="Arial"/>
          <w:sz w:val="18"/>
          <w:szCs w:val="18"/>
          <w:color w:val="auto"/>
        </w:rPr>
        <w:t>thereof, will be filed on or before the fifteenth calendar day following the prescribed due date; or the subject quarterly report or transition report on Form 10-Q or subject distribution report on Form 10-D, or portion thereof, will be filed on or before the fifth calendar day following the prescribed due date; and</w:t>
      </w:r>
    </w:p>
    <w:p>
      <w:pPr>
        <w:spacing w:after="0" w:line="120" w:lineRule="exact"/>
        <w:rPr>
          <w:rFonts w:ascii="MS PGothic" w:cs="MS PGothic" w:eastAsia="MS PGothic" w:hAnsi="MS PGothic"/>
          <w:sz w:val="36"/>
          <w:szCs w:val="36"/>
          <w:color w:val="auto"/>
          <w:vertAlign w:val="subscript"/>
        </w:rPr>
      </w:pPr>
    </w:p>
    <w:p>
      <w:pPr>
        <w:ind w:left="880" w:hanging="363"/>
        <w:spacing w:after="0"/>
        <w:tabs>
          <w:tab w:leader="none" w:pos="880" w:val="left"/>
        </w:tabs>
        <w:numPr>
          <w:ilvl w:val="1"/>
          <w:numId w:val="3"/>
        </w:numPr>
        <w:rPr>
          <w:rFonts w:ascii="Arial" w:cs="Arial" w:eastAsia="Arial" w:hAnsi="Arial"/>
          <w:sz w:val="18"/>
          <w:szCs w:val="18"/>
          <w:color w:val="auto"/>
        </w:rPr>
      </w:pPr>
      <w:r>
        <w:rPr>
          <w:rFonts w:ascii="Arial" w:cs="Arial" w:eastAsia="Arial" w:hAnsi="Arial"/>
          <w:sz w:val="18"/>
          <w:szCs w:val="18"/>
          <w:color w:val="auto"/>
        </w:rPr>
        <w:t>The accountant’s statement or other exhibit required by Rule 12b-25(c) has been attached if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-979170</wp:posOffset>
            </wp:positionV>
            <wp:extent cx="8890" cy="9950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8890" cy="9950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255270</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93"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PART III — NARRATIVE</w:t>
      </w:r>
    </w:p>
    <w:p>
      <w:pPr>
        <w:spacing w:after="0" w:line="229"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State below in reasonable detail why Forms 10-K, 20-F, 11-K, 10-Q, 10-D, N-SAR, N-CSR, or the transition report or portion thereof, could not be filed within the prescribed time period.</w:t>
      </w:r>
    </w:p>
    <w:p>
      <w:pPr>
        <w:spacing w:after="0" w:line="170"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NN, Inc. (the “Company”) was unable, without unreasonable effort or expense, to file its Quarterly Report on Form 10-Q for the period ended June 30, 2017 by the August 9, 2017 filing due date applicable to accelerated filers. In connection with preparing its June 30, 2017 interim financial statements, the Company identified a required revision in its previously issued 2014, 2015 and 2016 annual financial statements and the March 31, 2017 interim financial statements related to the translation of its investment in joint venture. Management has determined that the required revision is not material to the previously issued annual and interim financial statements, and will be addressed by revising the previously issued annual and interim financial statements included within the June 30, 2017 Quarterly Report on Form 10-Q and future filings. As a result, the Company needs additional time to reflect the impact of the revision and to determine the necessary disclosures to be included in the Quarterly Report on Form 10-Q for the period ended June 30,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149225</wp:posOffset>
            </wp:positionV>
            <wp:extent cx="72466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0"/>
          <w:szCs w:val="20"/>
          <w:color w:val="auto"/>
        </w:rPr>
      </w:pPr>
    </w:p>
    <w:p>
      <w:pPr>
        <w:spacing w:after="0" w:line="240"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PART IV — OTHER INFORMATION</w:t>
      </w:r>
    </w:p>
    <w:p>
      <w:pPr>
        <w:spacing w:after="0" w:line="256" w:lineRule="exact"/>
        <w:rPr>
          <w:sz w:val="20"/>
          <w:szCs w:val="20"/>
          <w:color w:val="auto"/>
        </w:rPr>
      </w:pPr>
    </w:p>
    <w:p>
      <w:pPr>
        <w:ind w:left="460" w:hanging="452"/>
        <w:spacing w:after="0"/>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Name and telephone number of person to contact in regard to this notification</w:t>
      </w:r>
    </w:p>
    <w:p>
      <w:pPr>
        <w:spacing w:after="0" w:line="200" w:lineRule="exact"/>
        <w:rPr>
          <w:sz w:val="20"/>
          <w:szCs w:val="20"/>
          <w:color w:val="auto"/>
        </w:rPr>
      </w:pPr>
    </w:p>
    <w:p>
      <w:pPr>
        <w:spacing w:after="0" w:line="305" w:lineRule="exact"/>
        <w:rPr>
          <w:sz w:val="20"/>
          <w:szCs w:val="20"/>
          <w:color w:val="auto"/>
        </w:rPr>
      </w:pPr>
    </w:p>
    <w:tbl>
      <w:tblPr>
        <w:tblLayout w:type="fixed"/>
        <w:tblInd w:w="460" w:type="dxa"/>
        <w:tblCellMar>
          <w:top w:w="0" w:type="dxa"/>
          <w:left w:w="0" w:type="dxa"/>
          <w:bottom w:w="0" w:type="dxa"/>
          <w:right w:w="0" w:type="dxa"/>
        </w:tblCellMar>
      </w:tblPr>
      <w:tr>
        <w:trPr>
          <w:trHeight w:val="234"/>
        </w:trPr>
        <w:tc>
          <w:tcPr>
            <w:tcW w:w="4060" w:type="dxa"/>
            <w:vAlign w:val="bottom"/>
            <w:gridSpan w:val="2"/>
          </w:tcPr>
          <w:p>
            <w:pPr>
              <w:jc w:val="center"/>
              <w:ind w:right="520"/>
              <w:spacing w:after="0"/>
              <w:rPr>
                <w:sz w:val="20"/>
                <w:szCs w:val="20"/>
                <w:color w:val="auto"/>
              </w:rPr>
            </w:pPr>
            <w:r>
              <w:rPr>
                <w:rFonts w:ascii="Arial" w:cs="Arial" w:eastAsia="Arial" w:hAnsi="Arial"/>
                <w:sz w:val="18"/>
                <w:szCs w:val="18"/>
                <w:b w:val="1"/>
                <w:bCs w:val="1"/>
                <w:color w:val="auto"/>
                <w:w w:val="94"/>
              </w:rPr>
              <w:t>Matthew S. Heiter</w:t>
            </w:r>
          </w:p>
        </w:tc>
        <w:tc>
          <w:tcPr>
            <w:tcW w:w="2340" w:type="dxa"/>
            <w:vAlign w:val="bottom"/>
          </w:tcPr>
          <w:p>
            <w:pPr>
              <w:jc w:val="right"/>
              <w:ind w:right="839"/>
              <w:spacing w:after="0"/>
              <w:rPr>
                <w:sz w:val="20"/>
                <w:szCs w:val="20"/>
                <w:color w:val="auto"/>
              </w:rPr>
            </w:pPr>
            <w:r>
              <w:rPr>
                <w:rFonts w:ascii="Arial" w:cs="Arial" w:eastAsia="Arial" w:hAnsi="Arial"/>
                <w:sz w:val="18"/>
                <w:szCs w:val="18"/>
                <w:b w:val="1"/>
                <w:bCs w:val="1"/>
                <w:color w:val="auto"/>
              </w:rPr>
              <w:t>423</w:t>
            </w:r>
          </w:p>
        </w:tc>
        <w:tc>
          <w:tcPr>
            <w:tcW w:w="840" w:type="dxa"/>
            <w:vAlign w:val="bottom"/>
          </w:tcPr>
          <w:p>
            <w:pPr>
              <w:spacing w:after="0"/>
              <w:rPr>
                <w:sz w:val="20"/>
                <w:szCs w:val="20"/>
                <w:color w:val="auto"/>
              </w:rPr>
            </w:pPr>
          </w:p>
        </w:tc>
        <w:tc>
          <w:tcPr>
            <w:tcW w:w="3260" w:type="dxa"/>
            <w:vAlign w:val="bottom"/>
          </w:tcPr>
          <w:p>
            <w:pPr>
              <w:jc w:val="right"/>
              <w:ind w:right="1159"/>
              <w:spacing w:after="0"/>
              <w:rPr>
                <w:sz w:val="20"/>
                <w:szCs w:val="20"/>
                <w:color w:val="auto"/>
              </w:rPr>
            </w:pPr>
            <w:r>
              <w:rPr>
                <w:rFonts w:ascii="Arial" w:cs="Arial" w:eastAsia="Arial" w:hAnsi="Arial"/>
                <w:sz w:val="18"/>
                <w:szCs w:val="18"/>
                <w:b w:val="1"/>
                <w:bCs w:val="1"/>
                <w:color w:val="auto"/>
              </w:rPr>
              <w:t>434-8381</w:t>
            </w:r>
          </w:p>
        </w:tc>
      </w:tr>
      <w:tr>
        <w:trPr>
          <w:trHeight w:val="180"/>
        </w:trPr>
        <w:tc>
          <w:tcPr>
            <w:tcW w:w="3540" w:type="dxa"/>
            <w:vAlign w:val="bottom"/>
            <w:tcBorders>
              <w:top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(Name)</w:t>
            </w:r>
          </w:p>
        </w:tc>
        <w:tc>
          <w:tcPr>
            <w:tcW w:w="520" w:type="dxa"/>
            <w:vAlign w:val="bottom"/>
          </w:tcPr>
          <w:p>
            <w:pPr>
              <w:spacing w:after="0"/>
              <w:rPr>
                <w:sz w:val="15"/>
                <w:szCs w:val="15"/>
                <w:color w:val="auto"/>
              </w:rPr>
            </w:pPr>
          </w:p>
        </w:tc>
        <w:tc>
          <w:tcPr>
            <w:tcW w:w="2340" w:type="dxa"/>
            <w:vAlign w:val="bottom"/>
            <w:tcBorders>
              <w:top w:val="single" w:sz="8" w:color="auto"/>
            </w:tcBorders>
          </w:tcPr>
          <w:p>
            <w:pPr>
              <w:jc w:val="center"/>
              <w:ind w:left="139"/>
              <w:spacing w:after="0"/>
              <w:rPr>
                <w:sz w:val="20"/>
                <w:szCs w:val="20"/>
                <w:color w:val="auto"/>
              </w:rPr>
            </w:pPr>
            <w:r>
              <w:rPr>
                <w:rFonts w:ascii="Arial" w:cs="Arial" w:eastAsia="Arial" w:hAnsi="Arial"/>
                <w:sz w:val="14"/>
                <w:szCs w:val="14"/>
                <w:b w:val="1"/>
                <w:bCs w:val="1"/>
                <w:color w:val="auto"/>
                <w:w w:val="95"/>
              </w:rPr>
              <w:t>(Area Code)</w:t>
            </w:r>
          </w:p>
        </w:tc>
        <w:tc>
          <w:tcPr>
            <w:tcW w:w="840" w:type="dxa"/>
            <w:vAlign w:val="bottom"/>
          </w:tcPr>
          <w:p>
            <w:pPr>
              <w:spacing w:after="0"/>
              <w:rPr>
                <w:sz w:val="15"/>
                <w:szCs w:val="15"/>
                <w:color w:val="auto"/>
              </w:rPr>
            </w:pPr>
          </w:p>
        </w:tc>
        <w:tc>
          <w:tcPr>
            <w:tcW w:w="3260" w:type="dxa"/>
            <w:vAlign w:val="bottom"/>
            <w:tcBorders>
              <w:top w:val="single" w:sz="8" w:color="auto"/>
            </w:tcBorders>
          </w:tcPr>
          <w:p>
            <w:pPr>
              <w:jc w:val="center"/>
              <w:ind w:left="19"/>
              <w:spacing w:after="0"/>
              <w:rPr>
                <w:sz w:val="20"/>
                <w:szCs w:val="20"/>
                <w:color w:val="auto"/>
              </w:rPr>
            </w:pPr>
            <w:r>
              <w:rPr>
                <w:rFonts w:ascii="Arial" w:cs="Arial" w:eastAsia="Arial" w:hAnsi="Arial"/>
                <w:sz w:val="14"/>
                <w:szCs w:val="14"/>
                <w:b w:val="1"/>
                <w:bCs w:val="1"/>
                <w:color w:val="auto"/>
                <w:w w:val="93"/>
              </w:rPr>
              <w:t>(Telephone Number)</w:t>
            </w:r>
          </w:p>
        </w:tc>
      </w:tr>
    </w:tbl>
    <w:p>
      <w:pPr>
        <w:spacing w:after="0" w:line="69" w:lineRule="exact"/>
        <w:rPr>
          <w:sz w:val="20"/>
          <w:szCs w:val="20"/>
          <w:color w:val="auto"/>
        </w:rPr>
      </w:pPr>
    </w:p>
    <w:p>
      <w:pPr>
        <w:ind w:left="460" w:right="20" w:hanging="452"/>
        <w:spacing w:after="0" w:line="287" w:lineRule="auto"/>
        <w:tabs>
          <w:tab w:leader="none" w:pos="460" w:val="left"/>
        </w:tabs>
        <w:numPr>
          <w:ilvl w:val="0"/>
          <w:numId w:val="5"/>
        </w:numPr>
        <w:rPr>
          <w:rFonts w:ascii="Arial" w:cs="Arial" w:eastAsia="Arial" w:hAnsi="Arial"/>
          <w:sz w:val="16"/>
          <w:szCs w:val="16"/>
          <w:color w:val="auto"/>
        </w:rPr>
      </w:pPr>
      <w:r>
        <w:rPr>
          <w:rFonts w:ascii="Arial" w:cs="Arial" w:eastAsia="Arial" w:hAnsi="Arial"/>
          <w:sz w:val="16"/>
          <w:szCs w:val="16"/>
          <w:color w:val="auto"/>
        </w:rPr>
        <w:t>Have all other periodic reports required under Section 13 or 15(d) of the Securities Exchange Act of 1934 or Section 30 of the Investment Company Act of 1940 during the preceding 12 months or for such shorter period that the registrant was required to file such report(s) been filed? If answer is no,</w:t>
      </w:r>
    </w:p>
    <w:p>
      <w:pPr>
        <w:spacing w:after="0" w:line="1" w:lineRule="exact"/>
        <w:rPr>
          <w:sz w:val="20"/>
          <w:szCs w:val="20"/>
          <w:color w:val="auto"/>
        </w:rPr>
      </w:pPr>
    </w:p>
    <w:p>
      <w:pPr>
        <w:ind w:left="460"/>
        <w:spacing w:after="0" w:line="207" w:lineRule="exact"/>
        <w:tabs>
          <w:tab w:leader="none" w:pos="1880" w:val="left"/>
        </w:tabs>
        <w:rPr>
          <w:sz w:val="20"/>
          <w:szCs w:val="20"/>
          <w:color w:val="auto"/>
        </w:rPr>
      </w:pPr>
      <w:r>
        <w:rPr>
          <w:rFonts w:ascii="Arial" w:cs="Arial" w:eastAsia="Arial" w:hAnsi="Arial"/>
          <w:sz w:val="18"/>
          <w:szCs w:val="18"/>
          <w:color w:val="auto"/>
        </w:rPr>
        <w:t>identify report(s).</w:t>
      </w:r>
      <w:r>
        <w:rPr>
          <w:sz w:val="20"/>
          <w:szCs w:val="20"/>
          <w:color w:val="auto"/>
        </w:rPr>
        <w:tab/>
      </w:r>
      <w:r>
        <w:rPr>
          <w:rFonts w:ascii="MS PGothic" w:cs="MS PGothic" w:eastAsia="MS PGothic" w:hAnsi="MS PGothic"/>
          <w:sz w:val="18"/>
          <w:szCs w:val="18"/>
          <w:color w:val="auto"/>
        </w:rPr>
        <w:t xml:space="preserve">☒ </w:t>
      </w:r>
      <w:r>
        <w:rPr>
          <w:rFonts w:ascii="Arial" w:cs="Arial" w:eastAsia="Arial" w:hAnsi="Arial"/>
          <w:sz w:val="18"/>
          <w:szCs w:val="18"/>
          <w:color w:val="auto"/>
        </w:rPr>
        <w:t>Yes</w:t>
      </w:r>
      <w:r>
        <w:rPr>
          <w:rFonts w:ascii="MS PGothic" w:cs="MS PGothic" w:eastAsia="MS PGothic" w:hAnsi="MS PGothic"/>
          <w:sz w:val="18"/>
          <w:szCs w:val="18"/>
          <w:color w:val="auto"/>
        </w:rPr>
        <w:t xml:space="preserve">  ☐ </w:t>
      </w:r>
      <w:r>
        <w:rPr>
          <w:rFonts w:ascii="Arial" w:cs="Arial" w:eastAsia="Arial" w:hAnsi="Arial"/>
          <w:sz w:val="18"/>
          <w:szCs w:val="18"/>
          <w:color w:val="auto"/>
        </w:rPr>
        <w:t>No</w:t>
      </w:r>
    </w:p>
    <w:p>
      <w:pPr>
        <w:spacing w:after="0" w:line="243" w:lineRule="exact"/>
        <w:rPr>
          <w:sz w:val="20"/>
          <w:szCs w:val="20"/>
          <w:color w:val="auto"/>
        </w:rPr>
      </w:pPr>
    </w:p>
    <w:p>
      <w:pPr>
        <w:ind w:left="460" w:hanging="452"/>
        <w:spacing w:after="0"/>
        <w:tabs>
          <w:tab w:leader="none" w:pos="460" w:val="left"/>
        </w:tabs>
        <w:numPr>
          <w:ilvl w:val="0"/>
          <w:numId w:val="6"/>
        </w:numPr>
        <w:rPr>
          <w:rFonts w:ascii="Arial" w:cs="Arial" w:eastAsia="Arial" w:hAnsi="Arial"/>
          <w:sz w:val="17"/>
          <w:szCs w:val="17"/>
          <w:color w:val="auto"/>
        </w:rPr>
      </w:pPr>
      <w:r>
        <w:rPr>
          <w:rFonts w:ascii="Arial" w:cs="Arial" w:eastAsia="Arial" w:hAnsi="Arial"/>
          <w:sz w:val="17"/>
          <w:szCs w:val="17"/>
          <w:color w:val="auto"/>
        </w:rPr>
        <w:t>Is it anticipated that any significant change in results of operations from the corresponding period for the last fiscal year will be reflected by the</w:t>
      </w:r>
    </w:p>
    <w:p>
      <w:pPr>
        <w:spacing w:after="0" w:line="30" w:lineRule="exact"/>
        <w:rPr>
          <w:sz w:val="20"/>
          <w:szCs w:val="20"/>
          <w:color w:val="auto"/>
        </w:rPr>
      </w:pPr>
    </w:p>
    <w:p>
      <w:pPr>
        <w:ind w:left="460"/>
        <w:spacing w:after="0" w:line="207" w:lineRule="exact"/>
        <w:tabs>
          <w:tab w:leader="none" w:pos="5960" w:val="left"/>
        </w:tabs>
        <w:rPr>
          <w:sz w:val="20"/>
          <w:szCs w:val="20"/>
          <w:color w:val="auto"/>
        </w:rPr>
      </w:pPr>
      <w:r>
        <w:rPr>
          <w:rFonts w:ascii="Arial" w:cs="Arial" w:eastAsia="Arial" w:hAnsi="Arial"/>
          <w:sz w:val="18"/>
          <w:szCs w:val="18"/>
          <w:color w:val="auto"/>
        </w:rPr>
        <w:t>earnings statements to be included in the subject report or portion thereof?</w:t>
      </w:r>
      <w:r>
        <w:rPr>
          <w:sz w:val="20"/>
          <w:szCs w:val="20"/>
          <w:color w:val="auto"/>
        </w:rPr>
        <w:tab/>
      </w:r>
      <w:r>
        <w:rPr>
          <w:rFonts w:ascii="MS PGothic" w:cs="MS PGothic" w:eastAsia="MS PGothic" w:hAnsi="MS PGothic"/>
          <w:sz w:val="18"/>
          <w:szCs w:val="18"/>
          <w:color w:val="auto"/>
        </w:rPr>
        <w:t xml:space="preserve">☒ </w:t>
      </w:r>
      <w:r>
        <w:rPr>
          <w:rFonts w:ascii="Arial" w:cs="Arial" w:eastAsia="Arial" w:hAnsi="Arial"/>
          <w:sz w:val="18"/>
          <w:szCs w:val="18"/>
          <w:color w:val="auto"/>
        </w:rPr>
        <w:t>Yes</w:t>
      </w:r>
      <w:r>
        <w:rPr>
          <w:rFonts w:ascii="MS PGothic" w:cs="MS PGothic" w:eastAsia="MS PGothic" w:hAnsi="MS PGothic"/>
          <w:sz w:val="18"/>
          <w:szCs w:val="18"/>
          <w:color w:val="auto"/>
        </w:rPr>
        <w:t xml:space="preserve">  ☐ </w:t>
      </w:r>
      <w:r>
        <w:rPr>
          <w:rFonts w:ascii="Arial" w:cs="Arial" w:eastAsia="Arial" w:hAnsi="Arial"/>
          <w:sz w:val="18"/>
          <w:szCs w:val="18"/>
          <w:color w:val="auto"/>
        </w:rPr>
        <w:t>No</w:t>
      </w:r>
    </w:p>
    <w:p>
      <w:pPr>
        <w:spacing w:after="0" w:line="216" w:lineRule="exact"/>
        <w:rPr>
          <w:sz w:val="20"/>
          <w:szCs w:val="20"/>
          <w:color w:val="auto"/>
        </w:rPr>
      </w:pPr>
    </w:p>
    <w:p>
      <w:pPr>
        <w:ind w:left="460" w:right="520"/>
        <w:spacing w:after="0" w:line="277" w:lineRule="auto"/>
        <w:rPr>
          <w:sz w:val="20"/>
          <w:szCs w:val="20"/>
          <w:color w:val="auto"/>
        </w:rPr>
      </w:pPr>
      <w:r>
        <w:rPr>
          <w:rFonts w:ascii="Arial" w:cs="Arial" w:eastAsia="Arial" w:hAnsi="Arial"/>
          <w:sz w:val="18"/>
          <w:szCs w:val="18"/>
          <w:color w:val="auto"/>
        </w:rPr>
        <w:t>If so, attach an explanation of the anticipated change, both narratively and quantitatively, and, if appropriate, state the reasons why a reasonable estimate of the results cannot be made.</w:t>
      </w:r>
    </w:p>
    <w:p>
      <w:pPr>
        <w:spacing w:after="0" w:line="170" w:lineRule="exact"/>
        <w:rPr>
          <w:sz w:val="20"/>
          <w:szCs w:val="20"/>
          <w:color w:val="auto"/>
        </w:rPr>
      </w:pPr>
    </w:p>
    <w:p>
      <w:pPr>
        <w:jc w:val="both"/>
        <w:ind w:right="120"/>
        <w:spacing w:after="0" w:line="279" w:lineRule="auto"/>
        <w:rPr>
          <w:sz w:val="20"/>
          <w:szCs w:val="20"/>
          <w:color w:val="auto"/>
        </w:rPr>
      </w:pPr>
      <w:r>
        <w:rPr>
          <w:rFonts w:ascii="Arial" w:cs="Arial" w:eastAsia="Arial" w:hAnsi="Arial"/>
          <w:sz w:val="17"/>
          <w:szCs w:val="17"/>
          <w:color w:val="auto"/>
        </w:rPr>
        <w:t>The Company’s financial condition and results of operations for the quarter ended June 30, 2017 will be significantly different from financial condition and results of operations for the quarter ended June 30, 2016 due to the redemption of our Senior Notes in April 2017, which resulted in a $39.6 million loss on extinguishment of debt and write-off of unamortized debt issuance cost. Refer to the Current Report on Form 8-K furnished by the Company on August 3, 2017, which includes the Company’s press release announcing the financial results for the quarter ended June 30, 2017.</w:t>
      </w:r>
    </w:p>
    <w:p>
      <w:pPr>
        <w:sectPr>
          <w:pgSz w:w="11900" w:h="16838" w:orient="portrait"/>
          <w:cols w:equalWidth="0" w:num="1">
            <w:col w:w="11320"/>
          </w:cols>
          <w:pgMar w:left="240" w:top="270" w:right="3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Forward-Looking Statements</w:t>
      </w:r>
    </w:p>
    <w:p>
      <w:pPr>
        <w:spacing w:after="0" w:line="12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This notification includes forward-looking statements within the meaning of Section 27A of the Securities Act of 1933 and Section 21E of the Securities Exchange Act of 1934. The words “expects” and “intends” and similar terms and phrases are used in this notification to identify forward-looking statements, including statements regarding the estimated timing for the filing of the Company’s Form 10-Q. Risks, uncertainties and assumptions that could affect the Company’s forward-looking statements include, among other things, the time needed for the Company to finalize and file its Form 10-Q. Unless required by law, the Company expressly disclaims any obligation to update publicly any forward-looking statements, whether as a result of new information, future events or otherwise.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165735</wp:posOffset>
            </wp:positionV>
            <wp:extent cx="72466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70"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NN,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1925955</wp:posOffset>
            </wp:positionH>
            <wp:positionV relativeFrom="paragraph">
              <wp:posOffset>45720</wp:posOffset>
            </wp:positionV>
            <wp:extent cx="340487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87" w:lineRule="exact"/>
        <w:rPr>
          <w:sz w:val="20"/>
          <w:szCs w:val="20"/>
          <w:color w:val="auto"/>
        </w:rPr>
      </w:pPr>
    </w:p>
    <w:p>
      <w:pPr>
        <w:ind w:left="4000"/>
        <w:spacing w:after="0"/>
        <w:rPr>
          <w:sz w:val="20"/>
          <w:szCs w:val="20"/>
          <w:color w:val="auto"/>
        </w:rPr>
      </w:pPr>
      <w:r>
        <w:rPr>
          <w:rFonts w:ascii="Arial" w:cs="Arial" w:eastAsia="Arial" w:hAnsi="Arial"/>
          <w:sz w:val="18"/>
          <w:szCs w:val="18"/>
          <w:b w:val="1"/>
          <w:bCs w:val="1"/>
          <w:color w:val="auto"/>
        </w:rPr>
        <w:t>(Name of Registrant as Specified in Charter)</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has caused this notification to be signed on its behalf by the undersigned hereunto duly authorized.</w:t>
      </w:r>
    </w:p>
    <w:p>
      <w:pPr>
        <w:spacing w:after="0" w:line="35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00" w:type="dxa"/>
            <w:vAlign w:val="bottom"/>
          </w:tcPr>
          <w:p>
            <w:pPr>
              <w:spacing w:after="0"/>
              <w:rPr>
                <w:sz w:val="20"/>
                <w:szCs w:val="20"/>
                <w:color w:val="auto"/>
              </w:rPr>
            </w:pPr>
            <w:r>
              <w:rPr>
                <w:rFonts w:ascii="Arial" w:cs="Arial" w:eastAsia="Arial" w:hAnsi="Arial"/>
                <w:sz w:val="18"/>
                <w:szCs w:val="18"/>
                <w:color w:val="auto"/>
              </w:rPr>
              <w:t>Date</w:t>
            </w:r>
          </w:p>
        </w:tc>
        <w:tc>
          <w:tcPr>
            <w:tcW w:w="2120" w:type="dxa"/>
            <w:vAlign w:val="bottom"/>
            <w:tcBorders>
              <w:bottom w:val="single" w:sz="8" w:color="auto"/>
            </w:tcBorders>
          </w:tcPr>
          <w:p>
            <w:pPr>
              <w:ind w:left="360"/>
              <w:spacing w:after="0"/>
              <w:rPr>
                <w:sz w:val="20"/>
                <w:szCs w:val="20"/>
                <w:color w:val="auto"/>
              </w:rPr>
            </w:pPr>
            <w:r>
              <w:rPr>
                <w:rFonts w:ascii="Arial" w:cs="Arial" w:eastAsia="Arial" w:hAnsi="Arial"/>
                <w:sz w:val="18"/>
                <w:szCs w:val="18"/>
                <w:b w:val="1"/>
                <w:bCs w:val="1"/>
                <w:color w:val="auto"/>
              </w:rPr>
              <w:t>August 10, 2017</w:t>
            </w:r>
          </w:p>
        </w:tc>
        <w:tc>
          <w:tcPr>
            <w:tcW w:w="8800" w:type="dxa"/>
            <w:vAlign w:val="bottom"/>
            <w:gridSpan w:val="2"/>
          </w:tcPr>
          <w:p>
            <w:pPr>
              <w:ind w:left="3120"/>
              <w:spacing w:after="0"/>
              <w:rPr>
                <w:sz w:val="20"/>
                <w:szCs w:val="20"/>
                <w:color w:val="auto"/>
              </w:rPr>
            </w:pPr>
            <w:r>
              <w:rPr>
                <w:rFonts w:ascii="Arial" w:cs="Arial" w:eastAsia="Arial" w:hAnsi="Arial"/>
                <w:sz w:val="18"/>
                <w:szCs w:val="18"/>
                <w:color w:val="auto"/>
              </w:rPr>
              <w:t>By  /s/ Matthew S. Heiter</w:t>
            </w:r>
          </w:p>
        </w:tc>
      </w:tr>
      <w:tr>
        <w:trPr>
          <w:trHeight w:val="21"/>
        </w:trPr>
        <w:tc>
          <w:tcPr>
            <w:tcW w:w="50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5460" w:type="dxa"/>
            <w:vAlign w:val="bottom"/>
            <w:tcBorders>
              <w:bottom w:val="single" w:sz="8" w:color="auto"/>
            </w:tcBorders>
          </w:tcPr>
          <w:p>
            <w:pPr>
              <w:spacing w:after="0" w:line="20" w:lineRule="exact"/>
              <w:rPr>
                <w:sz w:val="1"/>
                <w:szCs w:val="1"/>
                <w:color w:val="auto"/>
              </w:rPr>
            </w:pPr>
          </w:p>
        </w:tc>
      </w:tr>
      <w:tr>
        <w:trPr>
          <w:trHeight w:val="195"/>
        </w:trPr>
        <w:tc>
          <w:tcPr>
            <w:tcW w:w="500" w:type="dxa"/>
            <w:vAlign w:val="bottom"/>
          </w:tcPr>
          <w:p>
            <w:pPr>
              <w:spacing w:after="0"/>
              <w:rPr>
                <w:sz w:val="16"/>
                <w:szCs w:val="16"/>
                <w:color w:val="auto"/>
              </w:rPr>
            </w:pPr>
          </w:p>
        </w:tc>
        <w:tc>
          <w:tcPr>
            <w:tcW w:w="2120" w:type="dxa"/>
            <w:vAlign w:val="bottom"/>
          </w:tcPr>
          <w:p>
            <w:pPr>
              <w:spacing w:after="0"/>
              <w:rPr>
                <w:sz w:val="16"/>
                <w:szCs w:val="16"/>
                <w:color w:val="auto"/>
              </w:rPr>
            </w:pPr>
          </w:p>
        </w:tc>
        <w:tc>
          <w:tcPr>
            <w:tcW w:w="3340" w:type="dxa"/>
            <w:vAlign w:val="bottom"/>
          </w:tcPr>
          <w:p>
            <w:pPr>
              <w:spacing w:after="0"/>
              <w:rPr>
                <w:sz w:val="16"/>
                <w:szCs w:val="16"/>
                <w:color w:val="auto"/>
              </w:rPr>
            </w:pPr>
          </w:p>
        </w:tc>
        <w:tc>
          <w:tcPr>
            <w:tcW w:w="5460" w:type="dxa"/>
            <w:vAlign w:val="bottom"/>
          </w:tcPr>
          <w:p>
            <w:pPr>
              <w:ind w:left="100"/>
              <w:spacing w:after="0" w:line="195" w:lineRule="exact"/>
              <w:rPr>
                <w:sz w:val="20"/>
                <w:szCs w:val="20"/>
                <w:color w:val="auto"/>
              </w:rPr>
            </w:pPr>
            <w:r>
              <w:rPr>
                <w:rFonts w:ascii="Arial" w:cs="Arial" w:eastAsia="Arial" w:hAnsi="Arial"/>
                <w:sz w:val="18"/>
                <w:szCs w:val="18"/>
                <w:color w:val="auto"/>
              </w:rPr>
              <w:t>Matthew S. Heiter</w:t>
            </w:r>
          </w:p>
        </w:tc>
      </w:tr>
      <w:tr>
        <w:trPr>
          <w:trHeight w:val="230"/>
        </w:trPr>
        <w:tc>
          <w:tcPr>
            <w:tcW w:w="50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3340" w:type="dxa"/>
            <w:vAlign w:val="bottom"/>
          </w:tcPr>
          <w:p>
            <w:pPr>
              <w:spacing w:after="0"/>
              <w:rPr>
                <w:sz w:val="20"/>
                <w:szCs w:val="20"/>
                <w:color w:val="auto"/>
              </w:rPr>
            </w:pPr>
          </w:p>
        </w:tc>
        <w:tc>
          <w:tcPr>
            <w:tcW w:w="5460" w:type="dxa"/>
            <w:vAlign w:val="bottom"/>
          </w:tcPr>
          <w:p>
            <w:pPr>
              <w:ind w:left="100"/>
              <w:spacing w:after="0"/>
              <w:rPr>
                <w:sz w:val="20"/>
                <w:szCs w:val="20"/>
                <w:color w:val="auto"/>
              </w:rPr>
            </w:pPr>
            <w:r>
              <w:rPr>
                <w:rFonts w:ascii="Arial" w:cs="Arial" w:eastAsia="Arial" w:hAnsi="Arial"/>
                <w:sz w:val="18"/>
                <w:szCs w:val="18"/>
                <w:color w:val="auto"/>
              </w:rPr>
              <w:t>Senior Vice President and General Counsel</w:t>
            </w:r>
          </w:p>
        </w:tc>
      </w:tr>
    </w:tbl>
    <w:p>
      <w:pPr>
        <w:spacing w:after="0" w:line="215" w:lineRule="exact"/>
        <w:rPr>
          <w:sz w:val="20"/>
          <w:szCs w:val="20"/>
          <w:color w:val="auto"/>
        </w:rPr>
      </w:pPr>
    </w:p>
    <w:p>
      <w:pPr>
        <w:jc w:val="both"/>
        <w:ind w:right="220"/>
        <w:spacing w:after="0" w:line="312" w:lineRule="auto"/>
        <w:rPr>
          <w:sz w:val="20"/>
          <w:szCs w:val="20"/>
          <w:color w:val="auto"/>
        </w:rPr>
      </w:pPr>
      <w:r>
        <w:rPr>
          <w:rFonts w:ascii="Arial" w:cs="Arial" w:eastAsia="Arial" w:hAnsi="Arial"/>
          <w:sz w:val="16"/>
          <w:szCs w:val="16"/>
          <w:color w:val="auto"/>
        </w:rPr>
        <w:t>INSTRUCTION: The form may be signed by an executive officer of the registrant or by any other duly authorized representative. The name and title of the person signing the form shall be typed or printed beneath the signature. If the statement is signed on behalf of the registrant by an authorized representative (other than an executive officer), evidence of the representative’s authority to sign on behalf of the registrant shall be filed with the form.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194310</wp:posOffset>
            </wp:positionV>
            <wp:extent cx="7250430" cy="3473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347345"/>
                    </a:xfrm>
                    <a:prstGeom prst="rect">
                      <a:avLst/>
                    </a:prstGeom>
                    <a:noFill/>
                  </pic:spPr>
                </pic:pic>
              </a:graphicData>
            </a:graphic>
          </wp:anchor>
        </w:drawing>
      </w:r>
    </w:p>
    <w:p>
      <w:pPr>
        <w:spacing w:after="0" w:line="3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ATTENTION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Intentional misstatements or omissions of fact constitute Federal Criminal Violations (See 18 U.S.C. 1001).</w:t>
      </w:r>
    </w:p>
    <w:sectPr>
      <w:pgSz w:w="11900" w:h="16838" w:orient="portrait"/>
      <w:cols w:equalWidth="0" w:num="1">
        <w:col w:w="11420"/>
      </w:cols>
      <w:pgMar w:left="240" w:top="26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
      <w:numFmt w:val="bullet"/>
      <w:start w:val="1"/>
    </w:lvl>
    <w:lvl w:ilvl="1">
      <w:lvlJc w:val="left"/>
      <w:lvlText w:val="(%2)"/>
      <w:numFmt w:val="lowerLetter"/>
      <w:start w:val="1"/>
    </w:lvl>
  </w:abstractNum>
  <w:abstractNum w:abstractNumId="2">
    <w:nsid w:val="238E1F29"/>
    <w:multiLevelType w:val="hybridMultilevel"/>
    <w:lvl w:ilvl="0">
      <w:lvlJc w:val="left"/>
      <w:lvlText w:val="☒"/>
      <w:numFmt w:val="bullet"/>
      <w:start w:val="1"/>
    </w:lvl>
    <w:lvl w:ilvl="1">
      <w:lvlJc w:val="left"/>
      <w:lvlText w:val="(%2)"/>
      <w:numFmt w:val="lowerLetter"/>
      <w:start w:val="3"/>
    </w:lvl>
  </w:abstractNum>
  <w:abstractNum w:abstractNumId="3">
    <w:nsid w:val="46E87CCD"/>
    <w:multiLevelType w:val="hybridMultilevel"/>
    <w:lvl w:ilvl="0">
      <w:lvlJc w:val="left"/>
      <w:lvlText w:val="(%1)"/>
      <w:numFmt w:val="decimal"/>
      <w:start w:val="1"/>
    </w:lvl>
  </w:abstractNum>
  <w:abstractNum w:abstractNumId="4">
    <w:nsid w:val="3D1B58BA"/>
    <w:multiLevelType w:val="hybridMultilevel"/>
    <w:lvl w:ilvl="0">
      <w:lvlJc w:val="left"/>
      <w:lvlText w:val="(%1)"/>
      <w:numFmt w:val="decimal"/>
      <w:start w:val="2"/>
    </w:lvl>
  </w:abstractNum>
  <w:abstractNum w:abstractNumId="5">
    <w:nsid w:val="507ED7AB"/>
    <w:multiLevelType w:val="hybridMultilevel"/>
    <w:lvl w:ilvl="0">
      <w:lvlJc w:val="left"/>
      <w:lvlText w:val="(%1)"/>
      <w:numFmt w:val="decimal"/>
      <w:start w:val="3"/>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2019-12-05T23:44:12Z</dcterms:created>
  <dcterms:modified xsi:type="dcterms:W3CDTF">2019-12-05T23:44:12Z</dcterms:modified>
</cp:coreProperties>
</file>