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August 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169545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391160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tbl>
      <w:tblPr>
        <w:tblLayout w:type="fixed"/>
        <w:tblInd w:w="3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240" w:type="dxa"/>
            <w:vAlign w:val="bottom"/>
          </w:tcPr>
          <w:p>
            <w:pPr>
              <w:jc w:val="center"/>
              <w:ind w:right="70"/>
              <w:spacing w:after="0"/>
              <w:rPr>
                <w:sz w:val="20"/>
                <w:szCs w:val="20"/>
                <w:color w:val="auto"/>
              </w:rPr>
            </w:pPr>
            <w:r>
              <w:rPr>
                <w:rFonts w:ascii="Arial" w:cs="Arial" w:eastAsia="Arial" w:hAnsi="Arial"/>
                <w:sz w:val="18"/>
                <w:szCs w:val="18"/>
                <w:color w:val="auto"/>
                <w:w w:val="90"/>
              </w:rPr>
              <w:t>(Exact name of registrant as specified in its charter)</w:t>
            </w:r>
          </w:p>
        </w:tc>
        <w:tc>
          <w:tcPr>
            <w:tcW w:w="2840" w:type="dxa"/>
            <w:vAlign w:val="bottom"/>
          </w:tcPr>
          <w:p>
            <w:pPr>
              <w:spacing w:after="0"/>
              <w:rPr>
                <w:sz w:val="20"/>
                <w:szCs w:val="20"/>
                <w:color w:val="auto"/>
              </w:rPr>
            </w:pPr>
          </w:p>
        </w:tc>
      </w:tr>
      <w:tr>
        <w:trPr>
          <w:trHeight w:val="68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Delaware</w:t>
            </w:r>
          </w:p>
        </w:tc>
        <w:tc>
          <w:tcPr>
            <w:tcW w:w="4240" w:type="dxa"/>
            <w:vAlign w:val="bottom"/>
          </w:tcPr>
          <w:p>
            <w:pPr>
              <w:jc w:val="center"/>
              <w:ind w:right="110"/>
              <w:spacing w:after="0"/>
              <w:rPr>
                <w:sz w:val="20"/>
                <w:szCs w:val="20"/>
                <w:color w:val="auto"/>
              </w:rPr>
            </w:pPr>
            <w:r>
              <w:rPr>
                <w:rFonts w:ascii="Arial" w:cs="Arial" w:eastAsia="Arial" w:hAnsi="Arial"/>
                <w:sz w:val="18"/>
                <w:szCs w:val="18"/>
                <w:color w:val="auto"/>
                <w:w w:val="90"/>
              </w:rPr>
              <w:t>0-23486</w:t>
            </w:r>
          </w:p>
        </w:tc>
        <w:tc>
          <w:tcPr>
            <w:tcW w:w="2840" w:type="dxa"/>
            <w:vAlign w:val="bottom"/>
          </w:tcPr>
          <w:p>
            <w:pPr>
              <w:jc w:val="right"/>
              <w:ind w:right="710"/>
              <w:spacing w:after="0"/>
              <w:rPr>
                <w:sz w:val="20"/>
                <w:szCs w:val="20"/>
                <w:color w:val="auto"/>
              </w:rPr>
            </w:pPr>
            <w:r>
              <w:rPr>
                <w:rFonts w:ascii="Arial" w:cs="Arial" w:eastAsia="Arial" w:hAnsi="Arial"/>
                <w:sz w:val="18"/>
                <w:szCs w:val="18"/>
                <w:color w:val="auto"/>
              </w:rPr>
              <w:t>62-1096725</w:t>
            </w:r>
          </w:p>
        </w:tc>
      </w:tr>
      <w:tr>
        <w:trPr>
          <w:trHeight w:val="230"/>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92"/>
              </w:rPr>
              <w:t>(State or other jurisdiction of incorporation)</w:t>
            </w:r>
          </w:p>
        </w:tc>
        <w:tc>
          <w:tcPr>
            <w:tcW w:w="42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0"/>
              </w:rPr>
              <w:t>2000 Waters Edge Drive</w:t>
            </w:r>
          </w:p>
        </w:tc>
        <w:tc>
          <w:tcPr>
            <w:tcW w:w="42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3360" w:type="dxa"/>
            <w:vAlign w:val="bottom"/>
          </w:tcPr>
          <w:p>
            <w:pPr>
              <w:jc w:val="center"/>
              <w:ind w:right="110"/>
              <w:spacing w:after="0"/>
              <w:rPr>
                <w:sz w:val="20"/>
                <w:szCs w:val="20"/>
                <w:color w:val="auto"/>
              </w:rPr>
            </w:pPr>
            <w:r>
              <w:rPr>
                <w:rFonts w:ascii="Arial" w:cs="Arial" w:eastAsia="Arial" w:hAnsi="Arial"/>
                <w:sz w:val="18"/>
                <w:szCs w:val="18"/>
                <w:color w:val="auto"/>
                <w:w w:val="86"/>
              </w:rPr>
              <w:t>Johnson City, Tennessee</w:t>
            </w:r>
          </w:p>
        </w:tc>
        <w:tc>
          <w:tcPr>
            <w:tcW w:w="4240" w:type="dxa"/>
            <w:vAlign w:val="bottom"/>
          </w:tcPr>
          <w:p>
            <w:pPr>
              <w:spacing w:after="0"/>
              <w:rPr>
                <w:sz w:val="18"/>
                <w:szCs w:val="18"/>
                <w:color w:val="auto"/>
              </w:rPr>
            </w:pPr>
          </w:p>
        </w:tc>
        <w:tc>
          <w:tcPr>
            <w:tcW w:w="2840" w:type="dxa"/>
            <w:vAlign w:val="bottom"/>
          </w:tcPr>
          <w:p>
            <w:pPr>
              <w:jc w:val="right"/>
              <w:ind w:right="930"/>
              <w:spacing w:after="0"/>
              <w:rPr>
                <w:sz w:val="20"/>
                <w:szCs w:val="20"/>
                <w:color w:val="auto"/>
              </w:rPr>
            </w:pPr>
            <w:r>
              <w:rPr>
                <w:rFonts w:ascii="Arial" w:cs="Arial" w:eastAsia="Arial" w:hAnsi="Arial"/>
                <w:sz w:val="18"/>
                <w:szCs w:val="18"/>
                <w:color w:val="auto"/>
              </w:rPr>
              <w:t>37604</w:t>
            </w:r>
          </w:p>
        </w:tc>
      </w:tr>
      <w:tr>
        <w:trPr>
          <w:trHeight w:val="230"/>
        </w:trPr>
        <w:tc>
          <w:tcPr>
            <w:tcW w:w="3360" w:type="dxa"/>
            <w:vAlign w:val="bottom"/>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4240" w:type="dxa"/>
            <w:vAlign w:val="bottom"/>
          </w:tcPr>
          <w:p>
            <w:pPr>
              <w:spacing w:after="0"/>
              <w:rPr>
                <w:sz w:val="20"/>
                <w:szCs w:val="20"/>
                <w:color w:val="auto"/>
              </w:rPr>
            </w:pPr>
          </w:p>
        </w:tc>
        <w:tc>
          <w:tcPr>
            <w:tcW w:w="2840" w:type="dxa"/>
            <w:vAlign w:val="bottom"/>
          </w:tcPr>
          <w:p>
            <w:pPr>
              <w:jc w:val="center"/>
              <w:ind w:left="270"/>
              <w:spacing w:after="0"/>
              <w:rPr>
                <w:sz w:val="20"/>
                <w:szCs w:val="20"/>
                <w:color w:val="auto"/>
              </w:rPr>
            </w:pPr>
            <w:r>
              <w:rPr>
                <w:rFonts w:ascii="Arial" w:cs="Arial" w:eastAsia="Arial" w:hAnsi="Arial"/>
                <w:sz w:val="18"/>
                <w:szCs w:val="18"/>
                <w:color w:val="auto"/>
                <w:w w:val="94"/>
              </w:rPr>
              <w:t>(Zip Code)</w:t>
            </w: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(423)743-9151</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(17CFT 230.425)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(17CFT 240.14a-12)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(17CFT 240.14d-2(b))</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1350645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9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Published as Exhibit 99.1 is NN Inc.'s press release dated August 5, 2011 regarding the results for the second quarter ended June 30, 2011.</w:t>
      </w:r>
    </w:p>
    <w:p>
      <w:pPr>
        <w:spacing w:after="0" w:line="24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attached press release includes the following non-GAAP measures: After-tax restructuring costs for plant closing and after-tax foreign currency (gain) loss on inter-company loans. These non-GAAP measures are not in accordance with, or an alternative for, generally accepted accounting principles and may be different from non-GAAP measures used by other companies.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and that these measures should only be used to evaluate our results of operations in conjunction with the corresponding GAAP measures.</w:t>
      </w:r>
    </w:p>
    <w:p>
      <w:pPr>
        <w:spacing w:after="0" w:line="20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Our management uses financial information that does not include (a) after-tax restructuring costs for plant closing and after-tax foreign currency (gain) loss on inter-company loans.</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use these non-GAAP financial measures in making operating decisions because we believe the measures provide meaningful supplemental information regarding our core operational performance. We use these measures to help make budgeting and spending decisions. Further, these non-GAAP financial measures facilitate management's internal comparisons to our historical operating results.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following exhibit is furnished pursuant to Item 2.02, is not considered "filed" under the Securities Exchange Act of 1934, as amended, and shall not be incorporated into any of the previous or future filings of NN, Inc. under the Securities Act of 1933, as amended, or the Exchange Act.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94"/>
        </w:trPr>
        <w:tc>
          <w:tcPr>
            <w:tcW w:w="1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3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of Exhibit</w:t>
            </w:r>
          </w:p>
        </w:tc>
      </w:tr>
      <w:tr>
        <w:trPr>
          <w:trHeight w:val="20"/>
        </w:trPr>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237"/>
        </w:trPr>
        <w:tc>
          <w:tcPr>
            <w:tcW w:w="640" w:type="dxa"/>
            <w:vAlign w:val="bottom"/>
          </w:tcPr>
          <w:p>
            <w:pPr>
              <w:jc w:val="right"/>
              <w:ind w:right="190"/>
              <w:spacing w:after="0"/>
              <w:rPr>
                <w:sz w:val="20"/>
                <w:szCs w:val="20"/>
                <w:color w:val="auto"/>
              </w:rPr>
            </w:pPr>
            <w:r>
              <w:rPr>
                <w:rFonts w:ascii="Arial" w:cs="Arial" w:eastAsia="Arial" w:hAnsi="Arial"/>
                <w:sz w:val="18"/>
                <w:szCs w:val="18"/>
                <w:color w:val="auto"/>
                <w:w w:val="96"/>
              </w:rPr>
              <w:t>99.1</w:t>
            </w:r>
          </w:p>
        </w:tc>
        <w:tc>
          <w:tcPr>
            <w:tcW w:w="400" w:type="dxa"/>
            <w:vAlign w:val="bottom"/>
          </w:tcPr>
          <w:p>
            <w:pPr>
              <w:spacing w:after="0"/>
              <w:rPr>
                <w:sz w:val="20"/>
                <w:szCs w:val="20"/>
                <w:color w:val="auto"/>
              </w:rPr>
            </w:pPr>
          </w:p>
        </w:tc>
        <w:tc>
          <w:tcPr>
            <w:tcW w:w="10380" w:type="dxa"/>
            <w:vAlign w:val="bottom"/>
            <w:gridSpan w:val="2"/>
          </w:tcPr>
          <w:p>
            <w:pPr>
              <w:ind w:left="60"/>
              <w:spacing w:after="0"/>
              <w:rPr>
                <w:sz w:val="20"/>
                <w:szCs w:val="20"/>
                <w:color w:val="auto"/>
              </w:rPr>
            </w:pPr>
            <w:r>
              <w:rPr>
                <w:rFonts w:ascii="Arial" w:cs="Arial" w:eastAsia="Arial" w:hAnsi="Arial"/>
                <w:sz w:val="18"/>
                <w:szCs w:val="18"/>
                <w:color w:val="auto"/>
              </w:rPr>
              <w:t>Press Release of NN, Inc. dated August 5, 2011</w:t>
            </w:r>
          </w:p>
        </w:tc>
      </w:tr>
      <w:tr>
        <w:trPr>
          <w:trHeight w:val="1145"/>
        </w:trPr>
        <w:tc>
          <w:tcPr>
            <w:tcW w:w="6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9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5, 2011</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20"/>
          </w:cols>
          <w:pgMar w:left="240" w:top="76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320040</wp:posOffset>
            </wp:positionV>
            <wp:extent cx="2426970"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6970" cy="7372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1211580</wp:posOffset>
            </wp:positionV>
            <wp:extent cx="1534795" cy="523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Johnson City, TN 37604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w:t>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AT THE COMPANY</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Will Kelly</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Vice President and Chief Administrative Officer</w:t>
      </w:r>
    </w:p>
    <w:p>
      <w:pPr>
        <w:spacing w:after="0" w:line="3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(423) 743-9151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FINANCIAL RELATIONS BOARD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Marilynn Meek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info)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827-3773</w:t>
      </w:r>
    </w:p>
    <w:p>
      <w:pPr>
        <w:spacing w:after="0" w:line="200" w:lineRule="exact"/>
        <w:rPr>
          <w:sz w:val="20"/>
          <w:szCs w:val="20"/>
          <w:color w:val="auto"/>
        </w:rPr>
      </w:pPr>
    </w:p>
    <w:p>
      <w:pPr>
        <w:sectPr>
          <w:pgSz w:w="11900" w:h="16838" w:orient="portrait"/>
          <w:cols w:equalWidth="0" w:num="2">
            <w:col w:w="5040" w:space="720"/>
            <w:col w:w="5660"/>
          </w:cols>
          <w:pgMar w:left="240" w:top="355" w:right="239" w:bottom="1440" w:gutter="0" w:footer="0" w:header="0"/>
          <w:type w:val="continuous"/>
        </w:sect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August 5, 2011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RECORD SECOND QUARTER AND SIX MONTHS 2011 RESULTS</w:t>
      </w:r>
    </w:p>
    <w:p>
      <w:pPr>
        <w:spacing w:after="0" w:line="256" w:lineRule="exact"/>
        <w:rPr>
          <w:sz w:val="20"/>
          <w:szCs w:val="20"/>
          <w:color w:val="auto"/>
        </w:rPr>
      </w:pP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quarter revenues rose 25% to $115.9 million</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from normal operations for the second quarter and six months ended June 30, 2011 was $6.1 million and $11.6 million, respectively, compared to $4.4 million and $5.7 million for the same periods in 2010</w:t>
      </w:r>
    </w:p>
    <w:p>
      <w:pPr>
        <w:ind w:left="660" w:hanging="139"/>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revises full year revenue guidance from $420 million - $425 million to $435 million - $440 million</w:t>
      </w:r>
    </w:p>
    <w:p>
      <w:pPr>
        <w:spacing w:after="0" w:line="23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Johnson City, Tenn, August 5, 2011 – </w:t>
      </w:r>
      <w:r>
        <w:rPr>
          <w:rFonts w:ascii="Arial" w:cs="Arial" w:eastAsia="Arial" w:hAnsi="Arial"/>
          <w:sz w:val="18"/>
          <w:szCs w:val="18"/>
          <w:color w:val="auto"/>
        </w:rPr>
        <w:t>NN, Inc. (NASDAQ: NNBR) today reported its financial results for the period ended June 30, 2011. Net sales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2011 rose $23.2 million or 25% to $115.9 million, compared to net sales of $92.7 million for the second quarter of 2010. Approximately $11.1 million, or 48%, of this increase was due to increased demand for the Company’s products, particularly in the industrial and automotive end markets. The remaining 52% of the increase was due to the positive impact of foreign currency exchange of $6.3 million and price increases and raw material inflation pass through of $5.8 million.</w:t>
      </w:r>
    </w:p>
    <w:p>
      <w:pPr>
        <w:spacing w:after="0" w:line="2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income for the second quarter of 2011 was $5.8 million, or $0.34 per diluted share, compared to net income of $5.1 million, or $0.31 per diluted share for the second quarter of 2010. Net income for the second quarter of 2011 included approximately $1.1 million, or $0.06 per diluted share, in loss associated with start-up costs in four major new programs in our Precision Metal Components segment.</w:t>
      </w:r>
    </w:p>
    <w:p>
      <w:pPr>
        <w:spacing w:after="0" w:line="20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income from normal operations in the second quarter of 2011 was $6.1 million, or $0.36 per diluted share, compared to net income from normal operations of $4.4 million, or $0.27 per diluted share for the same period in 2010. Net income from normal operations for the second quarter of 2011 excluded approximately $0.3 million, or $0.02 per diluted share, in foreign currency exchange losses on inter-company loans. Net income from normal operations for the second quarter of 2010 excluded $1.4 million in foreign currency exchange gains on inter-company loans and $0.7 million in restructuring charges associated with a plant closing. The 2011 second quarter results for net income from normal operations and EPS represented a historical record for NN.</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Net sales for the first six months of 2011 increased $49.2 million, or 27.6% to $227.2 million, compared to net sales of $178.0 million for the first six months of 2010. Approximately $31.9 million or 65% of the increase was attributable to the increased demand for the Company’s products, particularly in the industrial and automotive end markets. The remaining 35% of the increase was due to price increases and raw material inflation pass through of $10.9 million and the positive impact of foreign currency exchange of $6.4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type w:val="continuous"/>
        </w:sectPr>
      </w:pPr>
    </w:p>
    <w:bookmarkStart w:id="4" w:name="page5"/>
    <w:bookmarkEnd w:id="4"/>
    <w:p>
      <w:pPr>
        <w:ind w:right="40"/>
        <w:spacing w:after="0" w:line="264" w:lineRule="auto"/>
        <w:rPr>
          <w:sz w:val="20"/>
          <w:szCs w:val="20"/>
          <w:color w:val="auto"/>
        </w:rPr>
      </w:pPr>
      <w:r>
        <w:rPr>
          <w:rFonts w:ascii="Arial" w:cs="Arial" w:eastAsia="Arial" w:hAnsi="Arial"/>
          <w:sz w:val="18"/>
          <w:szCs w:val="18"/>
          <w:color w:val="auto"/>
        </w:rPr>
        <w:t>Net income for the first six months of 2011 was $11.3 million, or $0.67 per diluted share, compared to net income of $5.3 million, or $0.32 per diluted share, for the comparable period last year. Net income for the first six months of 2011 included approximately $3.3 million in loss, or $0.19 per diluted share, associated with start-up costs in four new programs in our Precision Metal Components segment.</w:t>
      </w:r>
    </w:p>
    <w:p>
      <w:pPr>
        <w:spacing w:after="0" w:line="20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Net income from normal operations in the first six months of 2011 was $11.6 million, or $0.69 per diluted share, compared to net income from normal operations of $5.7 million, or $0.35 per diluted share, for the same period last year. Net income from normal operations for the first six months of 2011 excluded approximately $1.2 million, or $0.07 per diluted share, in foreign currency exchange losses on inter-company loans and an after-tax gain from deconsolidation of bankrupt subsidiary of $0.8 million, or $0.05 per diluted share. Net income from normal operations for the first six months of 2010 excluded $2.3 million in foreign currency exchange gains on inter-company loans; $2.2 million in plant closing and restructuring charges; $1.1 million in charges related to the issuance of shares; and $0.6 million in income related to European labor cost adjustments. The 2011 six month results for net income from normal operations and EPS were also a record for NN.</w:t>
      </w:r>
    </w:p>
    <w:p>
      <w:pPr>
        <w:spacing w:after="0" w:line="2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James H. Dorton, Senior Vice President and Chief Financial Officer commented, “Selling, general and administrative expenses were $7.7 million, or 6.7% of net sales, for the second quarter of 2011, compared to $7.2 million, or 7.7% of net sales for last year’s second quarter. We reported SG&amp;A expenses of $15.7 million, or 6.9% of net sales, for the first six months of this year, compared to SG&amp;A expenses of $15.0 million, or 8.4% of sales, for the comparable period last year. During the current year, we have continued to further leverage our increased sales volumes and hold our SG&amp;A expenses as a percentage of sales below historic levels.”</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Dorton continued, “As a percentage of net sales, cost of goods sold increased in the second quarter to 81.7% as compared to 79.2% for last year’s second quarter. Cost of products sold for the first six months of this year was 81.1% as compared to 80.0% for the same period last year. The increase in cost of products sold as a percentage of sales is attributable to raw material inflation and start-up costs at Whirlaway. Excluding these factors, cost of products sold for the first six months of 2011 would have been 78.1%. ”</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debt, net of cash, was $76.9 million at June 30, 2011, an increase of $9.1 million over the December 31, 2010 amount of $67.8 million. The increase in net debt for the first half of this year is due to an increase in working capital needs associated with higher sales volume. As of June 30, 2011, we spent approximately $10.2 million, or 44% of our planned capital budget of $23.0 million for the year.”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Roderick R. Baty, Chairman and Chief Executive Officer commented, “Our second quarter and six months revenues for each of our three businesses, Metal Bearing Components, Rubber and Plastic Components, and Precision Metal Components continued to experience good levels of demand and are well ahead of 2010 levels. We are pleased that our second quarter and first six months earnings from normal operations represented historic records given the significant start-up costs we experienced at our Whirlaway operation. Although we have made incremental quarter over quarter improvements in these costs, they resulted in a loss at Whirlaway of $2.2 million in the first quarter and a loss of $1.1 million for the second quarter of 2011. We continue to make progress on the start up manufacturing issues and expect Whirlaway to reverse the first half losses and operate slightly above breakeven levels for the second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5" w:name="page6"/>
    <w:bookmarkEnd w:id="5"/>
    <w:p>
      <w:pPr>
        <w:ind w:right="360"/>
        <w:spacing w:after="0" w:line="302" w:lineRule="auto"/>
        <w:rPr>
          <w:sz w:val="20"/>
          <w:szCs w:val="20"/>
          <w:color w:val="auto"/>
        </w:rPr>
      </w:pPr>
      <w:r>
        <w:rPr>
          <w:rFonts w:ascii="Arial" w:cs="Arial" w:eastAsia="Arial" w:hAnsi="Arial"/>
          <w:sz w:val="16"/>
          <w:szCs w:val="16"/>
          <w:color w:val="auto"/>
        </w:rPr>
        <w:t>“Although the levels of customer orders and our forecasts continue to reflect solid revenue growth over 2010, the rate of incremental quarter over quarter growth is expected to level out in the second half of the year. Given normal second half seasonality in our businesses, particularly in Europe, we expect revenues to be slightly lower in the second half of 2011 compared to the first half of 2011. However, we are currently forecasting good levels of demand continuing for the second half of the year with corresponding high levels of capacity utilization in each of our global manufacturing operations.”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“Previously, we provided revenue guidance for full year 2011 of $420 million to $425 million. We now expect full year revenues to be in the range of $435 million to $440 million. A significant amount of the increase in our full year revenue guidance is due to foreign currency exchange rates and the revenue impact of material price inflation pass through. Our full year revenue guidance assumes good demand in the second half of 2011 continuing and is based upon current orders from our customers. Since we have seen no immediate impact on our business, our guidance does not reflect any recent concerns associated with weakening global economic activity for the remainder of 2011.”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10 manufacturing plants in the United States, Western Europe, Eastern Europe and China. NN, Inc. had sales of US $365 million in 2010.</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Form 10-K for the fiscal year ended December 31, 2010.</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6"/>
              </w:rPr>
              <w:t>Six Months Ended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2010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115,922</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227,229</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178,033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22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depreciation shown separately below)</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94,657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73,423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184,955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142,339</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10,962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Gain from deconsolidation of bankrupt subsidiary</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Income from operations</w:t>
            </w: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9,251</w:t>
            </w: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6,609</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18,468</w:t>
            </w: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Write-off of unamortized debt issue cost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(2,977)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6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shares</w:t>
            </w: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17,119</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16,633</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2"/>
        </w:trPr>
        <w:tc>
          <w:tcPr>
            <w:tcW w:w="116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81,547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63,331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5,525</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118,488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Goodwill,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8,396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7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assets</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248,555</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7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13,548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67,643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178,377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170,448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100,353</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78,107</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278,730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248,555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4"/>
        </w:trPr>
        <w:tc>
          <w:tcPr>
            <w:tcW w:w="116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 w:name="page9"/>
    <w:bookmarkEnd w:id="8"/>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4"/>
              </w:rPr>
              <w:t>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3"/>
              </w:rPr>
              <w:t>Three Months Ended</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June 30, 2011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June 30, 2010</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Diluted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Diluted</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rPr>
              <w:t>In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r>
      <w:tr>
        <w:trPr>
          <w:trHeight w:val="241"/>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Thousands</w:t>
            </w:r>
          </w:p>
        </w:tc>
        <w:tc>
          <w:tcPr>
            <w:tcW w:w="18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Thousands</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After-tax restructuring costs for plant closing</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8"/>
              </w:rPr>
              <w:t>After-tax foreign exchange (gain) loss on inter-company loans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income from normal operations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7"/>
              </w:rPr>
              <w:t>Six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June 30, 2011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June 30,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Diluted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In</w:t>
            </w: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w:t>
            </w: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Thousands</w:t>
            </w:r>
          </w:p>
        </w:tc>
        <w:tc>
          <w:tcPr>
            <w:tcW w:w="180" w:type="dxa"/>
            <w:vAlign w:val="bottom"/>
          </w:tcPr>
          <w:p>
            <w:pPr>
              <w:spacing w:after="0"/>
              <w:rPr>
                <w:sz w:val="20"/>
                <w:szCs w:val="20"/>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Thousands</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4"/>
              </w:rPr>
              <w:t>After-tax foreign exchange (gain) loss on inter-company loans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(2,289)</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After-tax restructuring costs and accelerated depreciation for</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plant closing</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After-tax, non-cash charge for issuance of shares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After-tax adjustments to European labor costs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After-tax gain from deconsolidation of bankrupt subsidiary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normal operations</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11,649</w:t>
            </w:r>
          </w:p>
        </w:tc>
        <w:tc>
          <w:tcPr>
            <w:tcW w:w="1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Company’s management evaluates operating performance excluding unusual and/or nonrecurring items. The Company believes excluding such items provides a more effective and comparable measure of performance and a clearer view of underlying trends. Since net income excluding these items is not a measure calculated in accordance with GAAP, this should not be considered as a substitute for other GAAP measures, including net income, as an indicator of performance. Accordingly, net income/loss excluding the above items is reconciled to net income/loss on a GAAP basis.</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2019-12-10T13:03:41Z</dcterms:created>
  <dcterms:modified xsi:type="dcterms:W3CDTF">2019-12-10T13:03:41Z</dcterms:modified>
</cp:coreProperties>
</file>