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SCHEDULE 13D</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THE SECURITIES EXCHANGE ACT OF 1934</w:t>
      </w:r>
    </w:p>
    <w:p>
      <w:pPr>
        <w:jc w:val="center"/>
        <w:ind w:right="-199"/>
        <w:spacing w:after="0"/>
        <w:rPr>
          <w:sz w:val="20"/>
          <w:szCs w:val="20"/>
          <w:color w:val="auto"/>
        </w:rPr>
      </w:pPr>
      <w:r>
        <w:rPr>
          <w:rFonts w:ascii="Arial" w:cs="Arial" w:eastAsia="Arial" w:hAnsi="Arial"/>
          <w:sz w:val="22"/>
          <w:szCs w:val="22"/>
          <w:color w:val="auto"/>
        </w:rPr>
        <w:t>(Amendment No.___)*</w:t>
      </w:r>
    </w:p>
    <w:p>
      <w:pPr>
        <w:spacing w:after="0" w:line="200" w:lineRule="exact"/>
        <w:rPr>
          <w:sz w:val="24"/>
          <w:szCs w:val="24"/>
          <w:color w:val="auto"/>
        </w:rPr>
      </w:pPr>
    </w:p>
    <w:p>
      <w:pPr>
        <w:spacing w:after="0" w:line="258"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258"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58"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58"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John Barrett</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Corre Partners Management, LLC</w:t>
      </w:r>
    </w:p>
    <w:p>
      <w:pPr>
        <w:jc w:val="center"/>
        <w:ind w:right="-199"/>
        <w:spacing w:after="0" w:line="184" w:lineRule="auto"/>
        <w:rPr>
          <w:sz w:val="20"/>
          <w:szCs w:val="20"/>
          <w:color w:val="auto"/>
        </w:rPr>
      </w:pPr>
      <w:r>
        <w:rPr>
          <w:rFonts w:ascii="Arial" w:cs="Arial" w:eastAsia="Arial" w:hAnsi="Arial"/>
          <w:sz w:val="21"/>
          <w:szCs w:val="21"/>
          <w:color w:val="auto"/>
        </w:rPr>
        <w:t>12 East 49</w:t>
      </w:r>
      <w:r>
        <w:rPr>
          <w:rFonts w:ascii="Arial" w:cs="Arial" w:eastAsia="Arial" w:hAnsi="Arial"/>
          <w:sz w:val="33"/>
          <w:szCs w:val="33"/>
          <w:color w:val="auto"/>
          <w:vertAlign w:val="superscript"/>
        </w:rPr>
        <w:t>th</w:t>
      </w:r>
      <w:r>
        <w:rPr>
          <w:rFonts w:ascii="Arial" w:cs="Arial" w:eastAsia="Arial" w:hAnsi="Arial"/>
          <w:sz w:val="21"/>
          <w:szCs w:val="21"/>
          <w:color w:val="auto"/>
        </w:rPr>
        <w:t xml:space="preserve"> Street, 40</w:t>
      </w:r>
      <w:r>
        <w:rPr>
          <w:rFonts w:ascii="Arial" w:cs="Arial" w:eastAsia="Arial" w:hAnsi="Arial"/>
          <w:sz w:val="33"/>
          <w:szCs w:val="33"/>
          <w:color w:val="auto"/>
          <w:vertAlign w:val="superscript"/>
        </w:rPr>
        <w:t>th</w:t>
      </w:r>
      <w:r>
        <w:rPr>
          <w:rFonts w:ascii="Arial" w:cs="Arial" w:eastAsia="Arial" w:hAnsi="Arial"/>
          <w:sz w:val="21"/>
          <w:szCs w:val="21"/>
          <w:color w:val="auto"/>
        </w:rPr>
        <w:t xml:space="preserve"> Floor,</w:t>
      </w:r>
    </w:p>
    <w:p>
      <w:pPr>
        <w:jc w:val="center"/>
        <w:ind w:right="-199"/>
        <w:spacing w:after="0" w:line="231" w:lineRule="auto"/>
        <w:rPr>
          <w:sz w:val="20"/>
          <w:szCs w:val="20"/>
          <w:color w:val="auto"/>
        </w:rPr>
      </w:pPr>
      <w:r>
        <w:rPr>
          <w:rFonts w:ascii="Arial" w:cs="Arial" w:eastAsia="Arial" w:hAnsi="Arial"/>
          <w:sz w:val="22"/>
          <w:szCs w:val="22"/>
          <w:color w:val="auto"/>
        </w:rPr>
        <w:t>New York, NY 10017</w:t>
      </w:r>
    </w:p>
    <w:p>
      <w:pPr>
        <w:jc w:val="center"/>
        <w:ind w:right="-199"/>
        <w:spacing w:after="0"/>
        <w:rPr>
          <w:sz w:val="20"/>
          <w:szCs w:val="20"/>
          <w:color w:val="auto"/>
        </w:rPr>
      </w:pPr>
      <w:r>
        <w:rPr>
          <w:rFonts w:ascii="Arial" w:cs="Arial" w:eastAsia="Arial" w:hAnsi="Arial"/>
          <w:sz w:val="22"/>
          <w:szCs w:val="22"/>
          <w:color w:val="auto"/>
        </w:rPr>
        <w:t>Telephone Number: 646-863-7152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-3810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9"/>
        <w:spacing w:after="0" w:line="233" w:lineRule="auto"/>
        <w:rPr>
          <w:sz w:val="20"/>
          <w:szCs w:val="20"/>
          <w:color w:val="auto"/>
        </w:rPr>
      </w:pPr>
      <w:r>
        <w:rPr>
          <w:rFonts w:ascii="Arial" w:cs="Arial" w:eastAsia="Arial" w:hAnsi="Arial"/>
          <w:sz w:val="22"/>
          <w:szCs w:val="22"/>
          <w:color w:val="auto"/>
        </w:rPr>
        <w:t>(Name, Address and Telephone Number of Person Authorized to Receive</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Notices and Communications)</w:t>
      </w:r>
    </w:p>
    <w:p>
      <w:pPr>
        <w:spacing w:after="0" w:line="200" w:lineRule="exact"/>
        <w:rPr>
          <w:sz w:val="24"/>
          <w:szCs w:val="24"/>
          <w:color w:val="auto"/>
        </w:rPr>
      </w:pPr>
    </w:p>
    <w:p>
      <w:pPr>
        <w:spacing w:after="0" w:line="258"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May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ind w:right="120"/>
        <w:spacing w:after="0"/>
        <w:rPr>
          <w:sz w:val="20"/>
          <w:szCs w:val="20"/>
          <w:color w:val="auto"/>
        </w:rPr>
      </w:pPr>
      <w:r>
        <w:rPr>
          <w:rFonts w:ascii="Arial" w:cs="Arial" w:eastAsia="Arial" w:hAnsi="Arial"/>
          <w:sz w:val="22"/>
          <w:szCs w:val="22"/>
          <w:color w:val="auto"/>
        </w:rPr>
        <w:t>If the filing person has previously filed a statement on Schedule 13G to report the acquisition that is the subject of this Schedule 13D, and is filing this schedule because of ss.240.13d-1(e), 240.13d-1(f) or 240.13d-1(g), check the following box [X].</w:t>
      </w:r>
    </w:p>
    <w:p>
      <w:pPr>
        <w:spacing w:after="0" w:line="227" w:lineRule="exact"/>
        <w:rPr>
          <w:sz w:val="24"/>
          <w:szCs w:val="24"/>
          <w:color w:val="auto"/>
        </w:rPr>
      </w:pPr>
    </w:p>
    <w:p>
      <w:pPr>
        <w:ind w:firstLine="5"/>
        <w:spacing w:after="0"/>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-476250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149225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860"/>
          </w:cols>
          <w:pgMar w:left="420" w:top="463" w:right="619" w:bottom="1440" w:gutter="0" w:footer="0" w:header="0"/>
        </w:sectPr>
      </w:pPr>
    </w:p>
    <w:bookmarkStart w:id="1" w:name="page2"/>
    <w:bookmarkEnd w:id="1"/>
    <w:tbl>
      <w:tblPr>
        <w:tblLayout w:type="fixed"/>
        <w:tblInd w:w="100" w:type="dxa"/>
        <w:tblCellMar>
          <w:top w:w="0" w:type="dxa"/>
          <w:left w:w="0" w:type="dxa"/>
          <w:bottom w:w="0" w:type="dxa"/>
          <w:right w:w="0" w:type="dxa"/>
        </w:tblCellMar>
      </w:tblPr>
      <w:tr>
        <w:trPr>
          <w:trHeight w:val="264"/>
        </w:trPr>
        <w:tc>
          <w:tcPr>
            <w:tcW w:w="1600" w:type="dxa"/>
            <w:vAlign w:val="bottom"/>
          </w:tcPr>
          <w:p>
            <w:pPr>
              <w:spacing w:after="0"/>
              <w:rPr>
                <w:sz w:val="20"/>
                <w:szCs w:val="20"/>
                <w:color w:val="auto"/>
              </w:rPr>
            </w:pPr>
            <w:r>
              <w:rPr>
                <w:rFonts w:ascii="Arial" w:cs="Arial" w:eastAsia="Arial" w:hAnsi="Arial"/>
                <w:sz w:val="22"/>
                <w:szCs w:val="22"/>
                <w:color w:val="auto"/>
              </w:rPr>
              <w:t>CUSIP No.</w:t>
            </w:r>
          </w:p>
        </w:tc>
        <w:tc>
          <w:tcPr>
            <w:tcW w:w="4280" w:type="dxa"/>
            <w:vAlign w:val="bottom"/>
            <w:tcBorders>
              <w:bottom w:val="single" w:sz="8" w:color="auto"/>
            </w:tcBorders>
          </w:tcPr>
          <w:p>
            <w:pPr>
              <w:jc w:val="right"/>
              <w:ind w:right="3112"/>
              <w:spacing w:after="0"/>
              <w:rPr>
                <w:sz w:val="20"/>
                <w:szCs w:val="20"/>
                <w:color w:val="auto"/>
              </w:rPr>
            </w:pPr>
            <w:r>
              <w:rPr>
                <w:rFonts w:ascii="Arial" w:cs="Arial" w:eastAsia="Arial" w:hAnsi="Arial"/>
                <w:sz w:val="22"/>
                <w:szCs w:val="22"/>
                <w:color w:val="auto"/>
                <w:w w:val="94"/>
              </w:rPr>
              <w:t>629337106</w:t>
            </w:r>
          </w:p>
        </w:tc>
      </w:tr>
    </w:tbl>
    <w:p>
      <w:pPr>
        <w:spacing w:after="0" w:line="222" w:lineRule="exact"/>
        <w:rPr>
          <w:sz w:val="20"/>
          <w:szCs w:val="20"/>
          <w:color w:val="auto"/>
        </w:rPr>
      </w:pPr>
    </w:p>
    <w:p>
      <w:pPr>
        <w:ind w:left="1000" w:hanging="895"/>
        <w:spacing w:after="0"/>
        <w:tabs>
          <w:tab w:leader="none" w:pos="100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8"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color w:val="auto"/>
        </w:rPr>
        <w:t>I.R.S. IDENTIFICATION NOS. OF ABOVE PERSONS (ENTITIES ONLY)</w:t>
      </w:r>
    </w:p>
    <w:p>
      <w:pPr>
        <w:spacing w:after="0" w:line="215" w:lineRule="exact"/>
        <w:rPr>
          <w:sz w:val="20"/>
          <w:szCs w:val="20"/>
          <w:color w:val="auto"/>
        </w:rPr>
      </w:pPr>
    </w:p>
    <w:tbl>
      <w:tblPr>
        <w:tblLayout w:type="fixed"/>
        <w:tblInd w:w="100" w:type="dxa"/>
        <w:tblCellMar>
          <w:top w:w="0" w:type="dxa"/>
          <w:left w:w="0" w:type="dxa"/>
          <w:bottom w:w="0" w:type="dxa"/>
          <w:right w:w="0" w:type="dxa"/>
        </w:tblCellMar>
      </w:tblPr>
      <w:tr>
        <w:trPr>
          <w:trHeight w:val="274"/>
        </w:trPr>
        <w:tc>
          <w:tcPr>
            <w:tcW w:w="540" w:type="dxa"/>
            <w:vAlign w:val="bottom"/>
          </w:tcPr>
          <w:p>
            <w:pPr>
              <w:spacing w:after="0"/>
              <w:rPr>
                <w:sz w:val="23"/>
                <w:szCs w:val="23"/>
                <w:color w:val="auto"/>
              </w:rPr>
            </w:pPr>
          </w:p>
        </w:tc>
        <w:tc>
          <w:tcPr>
            <w:tcW w:w="7960" w:type="dxa"/>
            <w:vAlign w:val="bottom"/>
          </w:tcPr>
          <w:p>
            <w:pPr>
              <w:ind w:left="360"/>
              <w:spacing w:after="0"/>
              <w:rPr>
                <w:sz w:val="20"/>
                <w:szCs w:val="20"/>
                <w:color w:val="auto"/>
              </w:rPr>
            </w:pPr>
            <w:r>
              <w:rPr>
                <w:rFonts w:ascii="Arial" w:cs="Arial" w:eastAsia="Arial" w:hAnsi="Arial"/>
                <w:sz w:val="22"/>
                <w:szCs w:val="22"/>
                <w:color w:val="auto"/>
              </w:rPr>
              <w:t>Corre Opportunities Qualified Master Fund, LP</w:t>
            </w:r>
          </w:p>
        </w:tc>
        <w:tc>
          <w:tcPr>
            <w:tcW w:w="20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55"/>
        </w:trPr>
        <w:tc>
          <w:tcPr>
            <w:tcW w:w="540" w:type="dxa"/>
            <w:vAlign w:val="bottom"/>
          </w:tcPr>
          <w:p>
            <w:pPr>
              <w:jc w:val="right"/>
              <w:ind w:right="272"/>
              <w:spacing w:after="0"/>
              <w:rPr>
                <w:sz w:val="20"/>
                <w:szCs w:val="20"/>
                <w:color w:val="auto"/>
              </w:rPr>
            </w:pPr>
            <w:r>
              <w:rPr>
                <w:rFonts w:ascii="Arial" w:cs="Arial" w:eastAsia="Arial" w:hAnsi="Arial"/>
                <w:sz w:val="22"/>
                <w:szCs w:val="22"/>
                <w:color w:val="auto"/>
                <w:w w:val="76"/>
              </w:rPr>
              <w:t>2.</w:t>
            </w:r>
          </w:p>
        </w:tc>
        <w:tc>
          <w:tcPr>
            <w:tcW w:w="7960" w:type="dxa"/>
            <w:vAlign w:val="bottom"/>
          </w:tcPr>
          <w:p>
            <w:pPr>
              <w:ind w:left="360"/>
              <w:spacing w:after="0"/>
              <w:rPr>
                <w:sz w:val="20"/>
                <w:szCs w:val="20"/>
                <w:color w:val="auto"/>
              </w:rPr>
            </w:pPr>
            <w:r>
              <w:rPr>
                <w:rFonts w:ascii="Arial" w:cs="Arial" w:eastAsia="Arial" w:hAnsi="Arial"/>
                <w:sz w:val="22"/>
                <w:szCs w:val="22"/>
                <w:color w:val="auto"/>
              </w:rPr>
              <w:t>CHECK THE APPROPRIATE BOX IF A MEMBER OF A GROUP</w:t>
            </w:r>
          </w:p>
        </w:tc>
        <w:tc>
          <w:tcPr>
            <w:tcW w:w="2020" w:type="dxa"/>
            <w:vAlign w:val="bottom"/>
          </w:tcPr>
          <w:p>
            <w:pPr>
              <w:ind w:left="1620"/>
              <w:spacing w:after="0"/>
              <w:rPr>
                <w:sz w:val="20"/>
                <w:szCs w:val="20"/>
                <w:color w:val="auto"/>
              </w:rPr>
            </w:pPr>
            <w:r>
              <w:rPr>
                <w:rFonts w:ascii="Arial" w:cs="Arial" w:eastAsia="Arial" w:hAnsi="Arial"/>
                <w:sz w:val="22"/>
                <w:szCs w:val="22"/>
                <w:color w:val="auto"/>
              </w:rPr>
              <w:t>(a)</w:t>
            </w:r>
          </w:p>
        </w:tc>
        <w:tc>
          <w:tcPr>
            <w:tcW w:w="420" w:type="dxa"/>
            <w:vAlign w:val="bottom"/>
          </w:tcPr>
          <w:p>
            <w:pPr>
              <w:jc w:val="right"/>
              <w:spacing w:after="0"/>
              <w:rPr>
                <w:sz w:val="20"/>
                <w:szCs w:val="20"/>
                <w:color w:val="auto"/>
              </w:rPr>
            </w:pPr>
            <w:r>
              <w:rPr>
                <w:rFonts w:ascii="Arial" w:cs="Arial" w:eastAsia="Arial" w:hAnsi="Arial"/>
                <w:sz w:val="22"/>
                <w:szCs w:val="22"/>
                <w:color w:val="auto"/>
              </w:rPr>
              <w:t>[_]</w:t>
            </w:r>
          </w:p>
        </w:tc>
      </w:tr>
      <w:tr>
        <w:trPr>
          <w:trHeight w:val="274"/>
        </w:trPr>
        <w:tc>
          <w:tcPr>
            <w:tcW w:w="54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2020" w:type="dxa"/>
            <w:vAlign w:val="bottom"/>
          </w:tcPr>
          <w:p>
            <w:pPr>
              <w:ind w:left="1620"/>
              <w:spacing w:after="0"/>
              <w:rPr>
                <w:sz w:val="20"/>
                <w:szCs w:val="20"/>
                <w:color w:val="auto"/>
              </w:rPr>
            </w:pPr>
            <w:r>
              <w:rPr>
                <w:rFonts w:ascii="Arial" w:cs="Arial" w:eastAsia="Arial" w:hAnsi="Arial"/>
                <w:sz w:val="22"/>
                <w:szCs w:val="22"/>
                <w:color w:val="auto"/>
              </w:rPr>
              <w:t>(b)</w:t>
            </w:r>
          </w:p>
        </w:tc>
        <w:tc>
          <w:tcPr>
            <w:tcW w:w="420" w:type="dxa"/>
            <w:vAlign w:val="bottom"/>
          </w:tcPr>
          <w:p>
            <w:pPr>
              <w:jc w:val="right"/>
              <w:spacing w:after="0"/>
              <w:rPr>
                <w:sz w:val="20"/>
                <w:szCs w:val="20"/>
                <w:color w:val="auto"/>
              </w:rPr>
            </w:pPr>
            <w:r>
              <w:rPr>
                <w:rFonts w:ascii="Arial" w:cs="Arial" w:eastAsia="Arial" w:hAnsi="Arial"/>
                <w:sz w:val="22"/>
                <w:szCs w:val="22"/>
                <w:color w:val="auto"/>
              </w:rPr>
              <w:t>[_]</w:t>
            </w:r>
          </w:p>
        </w:tc>
      </w:tr>
    </w:tbl>
    <w:p>
      <w:pPr>
        <w:spacing w:after="0" w:line="212" w:lineRule="exact"/>
        <w:rPr>
          <w:sz w:val="20"/>
          <w:szCs w:val="20"/>
          <w:color w:val="auto"/>
        </w:rPr>
      </w:pPr>
    </w:p>
    <w:p>
      <w:pPr>
        <w:ind w:left="1000" w:hanging="895"/>
        <w:spacing w:after="0"/>
        <w:tabs>
          <w:tab w:leader="none" w:pos="100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000" w:right="8280" w:hanging="895"/>
        <w:spacing w:after="0" w:line="461" w:lineRule="auto"/>
        <w:tabs>
          <w:tab w:leader="none" w:pos="1000" w:val="left"/>
        </w:tabs>
        <w:numPr>
          <w:ilvl w:val="0"/>
          <w:numId w:val="3"/>
        </w:numPr>
        <w:rPr>
          <w:rFonts w:ascii="Arial" w:cs="Arial" w:eastAsia="Arial" w:hAnsi="Arial"/>
          <w:sz w:val="22"/>
          <w:szCs w:val="22"/>
          <w:color w:val="auto"/>
        </w:rPr>
      </w:pPr>
      <w:r>
        <w:rPr>
          <w:rFonts w:ascii="Arial" w:cs="Arial" w:eastAsia="Arial" w:hAnsi="Arial"/>
          <w:sz w:val="22"/>
          <w:szCs w:val="22"/>
          <w:color w:val="auto"/>
        </w:rPr>
        <w:t>SOURCE OF FUNDS WC</w:t>
      </w:r>
    </w:p>
    <w:p>
      <w:pPr>
        <w:ind w:left="1000" w:hanging="895"/>
        <w:spacing w:after="0"/>
        <w:tabs>
          <w:tab w:leader="none" w:pos="1000" w:val="left"/>
        </w:tabs>
        <w:numPr>
          <w:ilvl w:val="0"/>
          <w:numId w:val="3"/>
        </w:numPr>
        <w:rPr>
          <w:rFonts w:ascii="Arial" w:cs="Arial" w:eastAsia="Arial" w:hAnsi="Arial"/>
          <w:sz w:val="22"/>
          <w:szCs w:val="22"/>
          <w:color w:val="auto"/>
        </w:rPr>
      </w:pPr>
      <w:r>
        <w:rPr>
          <w:rFonts w:ascii="Arial" w:cs="Arial" w:eastAsia="Arial" w:hAnsi="Arial"/>
          <w:sz w:val="22"/>
          <w:szCs w:val="22"/>
          <w:color w:val="auto"/>
        </w:rPr>
        <w:t>CHECK BOX IF DISCLOSURE OF LEGAL PROCEEDINGS IS REQUIRED PURSUANT TO</w:t>
      </w:r>
    </w:p>
    <w:p>
      <w:pPr>
        <w:spacing w:after="0" w:line="8" w:lineRule="exact"/>
        <w:rPr>
          <w:sz w:val="20"/>
          <w:szCs w:val="20"/>
          <w:color w:val="auto"/>
        </w:rPr>
      </w:pPr>
    </w:p>
    <w:p>
      <w:pPr>
        <w:ind w:left="1000"/>
        <w:spacing w:after="0"/>
        <w:tabs>
          <w:tab w:leader="none" w:pos="10880" w:val="left"/>
        </w:tabs>
        <w:rPr>
          <w:sz w:val="20"/>
          <w:szCs w:val="20"/>
          <w:color w:val="auto"/>
        </w:rPr>
      </w:pPr>
      <w:r>
        <w:rPr>
          <w:rFonts w:ascii="Arial" w:cs="Arial" w:eastAsia="Arial" w:hAnsi="Arial"/>
          <w:sz w:val="22"/>
          <w:szCs w:val="22"/>
          <w:color w:val="auto"/>
        </w:rPr>
        <w:t>ITEMS 2(d) OR 2(e)</w:t>
      </w:r>
      <w:r>
        <w:rPr>
          <w:sz w:val="20"/>
          <w:szCs w:val="20"/>
          <w:color w:val="auto"/>
        </w:rPr>
        <w:tab/>
      </w:r>
      <w:r>
        <w:rPr>
          <w:rFonts w:ascii="Arial" w:cs="Arial" w:eastAsia="Arial" w:hAnsi="Arial"/>
          <w:sz w:val="21"/>
          <w:szCs w:val="21"/>
          <w:color w:val="auto"/>
        </w:rPr>
        <w:t>[_]</w:t>
      </w:r>
    </w:p>
    <w:p>
      <w:pPr>
        <w:spacing w:after="0" w:line="215" w:lineRule="exact"/>
        <w:rPr>
          <w:sz w:val="20"/>
          <w:szCs w:val="20"/>
          <w:color w:val="auto"/>
        </w:rPr>
      </w:pPr>
    </w:p>
    <w:p>
      <w:pPr>
        <w:ind w:left="1000" w:right="5820" w:hanging="895"/>
        <w:spacing w:after="0" w:line="461" w:lineRule="auto"/>
        <w:tabs>
          <w:tab w:leader="none" w:pos="10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CITIZENSHIP OR PLACE OF ORGANIZATION Cayman Islands</w:t>
      </w:r>
    </w:p>
    <w:p>
      <w:pPr>
        <w:ind w:left="100"/>
        <w:spacing w:after="0"/>
        <w:rPr>
          <w:sz w:val="20"/>
          <w:szCs w:val="20"/>
          <w:color w:val="auto"/>
        </w:rPr>
      </w:pPr>
      <w:r>
        <w:rPr>
          <w:rFonts w:ascii="Arial" w:cs="Arial" w:eastAsia="Arial" w:hAnsi="Arial"/>
          <w:sz w:val="22"/>
          <w:szCs w:val="22"/>
          <w:color w:val="auto"/>
        </w:rPr>
        <w:t>NUMBER OF SHARES BENEFICIALLY OWNED BY EACH REPORTING PERSON</w:t>
      </w:r>
    </w:p>
    <w:p>
      <w:pPr>
        <w:spacing w:after="0" w:line="233" w:lineRule="exact"/>
        <w:rPr>
          <w:sz w:val="20"/>
          <w:szCs w:val="20"/>
          <w:color w:val="auto"/>
        </w:rPr>
      </w:pPr>
    </w:p>
    <w:p>
      <w:pPr>
        <w:ind w:left="1000" w:right="8000" w:hanging="895"/>
        <w:spacing w:after="0" w:line="461" w:lineRule="auto"/>
        <w:tabs>
          <w:tab w:leader="none" w:pos="1000" w:val="left"/>
        </w:tabs>
        <w:numPr>
          <w:ilvl w:val="0"/>
          <w:numId w:val="5"/>
        </w:numPr>
        <w:rPr>
          <w:rFonts w:ascii="Arial" w:cs="Arial" w:eastAsia="Arial" w:hAnsi="Arial"/>
          <w:sz w:val="22"/>
          <w:szCs w:val="22"/>
          <w:color w:val="auto"/>
        </w:rPr>
      </w:pPr>
      <w:r>
        <w:rPr>
          <w:rFonts w:ascii="Arial" w:cs="Arial" w:eastAsia="Arial" w:hAnsi="Arial"/>
          <w:sz w:val="22"/>
          <w:szCs w:val="22"/>
          <w:color w:val="auto"/>
        </w:rPr>
        <w:t>SOLE VOTING POWER 0</w:t>
      </w:r>
    </w:p>
    <w:p>
      <w:pPr>
        <w:ind w:left="1000" w:right="7680" w:hanging="895"/>
        <w:spacing w:after="0" w:line="481" w:lineRule="auto"/>
        <w:tabs>
          <w:tab w:leader="none" w:pos="100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SHARED VOTING POWER 3,741,746*</w:t>
      </w:r>
    </w:p>
    <w:p>
      <w:pPr>
        <w:spacing w:after="0" w:line="174" w:lineRule="exact"/>
        <w:rPr>
          <w:rFonts w:ascii="Arial" w:cs="Arial" w:eastAsia="Arial" w:hAnsi="Arial"/>
          <w:sz w:val="22"/>
          <w:szCs w:val="22"/>
          <w:color w:val="auto"/>
        </w:rPr>
      </w:pPr>
    </w:p>
    <w:p>
      <w:pPr>
        <w:ind w:left="1000" w:right="7520" w:hanging="895"/>
        <w:spacing w:after="0" w:line="461" w:lineRule="auto"/>
        <w:tabs>
          <w:tab w:leader="none" w:pos="1000" w:val="left"/>
        </w:tabs>
        <w:numPr>
          <w:ilvl w:val="0"/>
          <w:numId w:val="5"/>
        </w:numPr>
        <w:rPr>
          <w:rFonts w:ascii="Arial" w:cs="Arial" w:eastAsia="Arial" w:hAnsi="Arial"/>
          <w:sz w:val="22"/>
          <w:szCs w:val="22"/>
          <w:color w:val="auto"/>
        </w:rPr>
      </w:pPr>
      <w:r>
        <w:rPr>
          <w:rFonts w:ascii="Arial" w:cs="Arial" w:eastAsia="Arial" w:hAnsi="Arial"/>
          <w:sz w:val="22"/>
          <w:szCs w:val="22"/>
          <w:color w:val="auto"/>
        </w:rPr>
        <w:t>SOLE DISPOSITIVE POWER 0</w:t>
      </w:r>
    </w:p>
    <w:p>
      <w:pPr>
        <w:ind w:left="1000" w:right="7200" w:hanging="895"/>
        <w:spacing w:after="0" w:line="481" w:lineRule="auto"/>
        <w:tabs>
          <w:tab w:leader="none" w:pos="100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SHARED DISPOSITIVE POWER 3,741,746*</w:t>
      </w:r>
    </w:p>
    <w:p>
      <w:pPr>
        <w:spacing w:after="0" w:line="201" w:lineRule="exact"/>
        <w:rPr>
          <w:rFonts w:ascii="Arial" w:cs="Arial" w:eastAsia="Arial" w:hAnsi="Arial"/>
          <w:sz w:val="22"/>
          <w:szCs w:val="22"/>
          <w:color w:val="auto"/>
        </w:rPr>
      </w:pPr>
    </w:p>
    <w:p>
      <w:pPr>
        <w:ind w:left="1000" w:right="2360" w:hanging="895"/>
        <w:spacing w:after="0" w:line="461" w:lineRule="auto"/>
        <w:tabs>
          <w:tab w:leader="none" w:pos="10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3,741,746*</w:t>
      </w:r>
    </w:p>
    <w:p>
      <w:pPr>
        <w:ind w:left="1000" w:hanging="895"/>
        <w:spacing w:after="0"/>
        <w:tabs>
          <w:tab w:leader="none" w:pos="100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CHECK BOX IF THE AGGREGATE AMOUNT IN ROW (11) EXCLUDES CERTAIN SHARES</w:t>
      </w:r>
    </w:p>
    <w:p>
      <w:pPr>
        <w:spacing w:after="0" w:line="8" w:lineRule="exact"/>
        <w:rPr>
          <w:sz w:val="20"/>
          <w:szCs w:val="20"/>
          <w:color w:val="auto"/>
        </w:rPr>
      </w:pPr>
    </w:p>
    <w:p>
      <w:pPr>
        <w:ind w:left="10900"/>
        <w:spacing w:after="0"/>
        <w:rPr>
          <w:sz w:val="20"/>
          <w:szCs w:val="20"/>
          <w:color w:val="auto"/>
        </w:rPr>
      </w:pPr>
      <w:r>
        <w:rPr>
          <w:rFonts w:ascii="Arial" w:cs="Arial" w:eastAsia="Arial" w:hAnsi="Arial"/>
          <w:sz w:val="22"/>
          <w:szCs w:val="22"/>
          <w:color w:val="auto"/>
        </w:rPr>
        <w:t>[_]</w:t>
      </w:r>
    </w:p>
    <w:p>
      <w:pPr>
        <w:spacing w:after="0" w:line="215" w:lineRule="exact"/>
        <w:rPr>
          <w:sz w:val="20"/>
          <w:szCs w:val="20"/>
          <w:color w:val="auto"/>
        </w:rPr>
      </w:pPr>
    </w:p>
    <w:p>
      <w:pPr>
        <w:ind w:left="1000" w:hanging="895"/>
        <w:spacing w:after="0"/>
        <w:tabs>
          <w:tab w:leader="none" w:pos="1000" w:val="left"/>
        </w:tabs>
        <w:numPr>
          <w:ilvl w:val="1"/>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(11)</w:t>
      </w:r>
    </w:p>
    <w:p>
      <w:pPr>
        <w:spacing w:after="0" w:line="233"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color w:val="auto"/>
        </w:rPr>
        <w:t>8.57%*</w:t>
      </w:r>
    </w:p>
    <w:p>
      <w:pPr>
        <w:spacing w:after="0" w:line="233" w:lineRule="exact"/>
        <w:rPr>
          <w:rFonts w:ascii="Arial" w:cs="Arial" w:eastAsia="Arial" w:hAnsi="Arial"/>
          <w:sz w:val="22"/>
          <w:szCs w:val="22"/>
          <w:color w:val="auto"/>
        </w:rPr>
      </w:pPr>
    </w:p>
    <w:p>
      <w:pPr>
        <w:ind w:left="1000" w:right="7220" w:hanging="895"/>
        <w:spacing w:after="0" w:line="481" w:lineRule="auto"/>
        <w:tabs>
          <w:tab w:leader="none" w:pos="1000" w:val="left"/>
        </w:tabs>
        <w:numPr>
          <w:ilvl w:val="1"/>
          <w:numId w:val="6"/>
        </w:numPr>
        <w:rPr>
          <w:rFonts w:ascii="Arial" w:cs="Arial" w:eastAsia="Arial" w:hAnsi="Arial"/>
          <w:sz w:val="22"/>
          <w:szCs w:val="22"/>
          <w:color w:val="auto"/>
        </w:rPr>
      </w:pPr>
      <w:r>
        <w:rPr>
          <w:rFonts w:ascii="Arial" w:cs="Arial" w:eastAsia="Arial" w:hAnsi="Arial"/>
          <w:sz w:val="22"/>
          <w:szCs w:val="22"/>
          <w:color w:val="auto"/>
        </w:rPr>
        <w:t>TYPE OF REPORTING PERSON PN</w:t>
      </w:r>
    </w:p>
    <w:p>
      <w:pPr>
        <w:spacing w:after="0" w:line="214" w:lineRule="exact"/>
        <w:rPr>
          <w:rFonts w:ascii="Arial" w:cs="Arial" w:eastAsia="Arial" w:hAnsi="Arial"/>
          <w:sz w:val="22"/>
          <w:szCs w:val="22"/>
          <w:color w:val="auto"/>
        </w:rPr>
      </w:pPr>
    </w:p>
    <w:p>
      <w:pPr>
        <w:jc w:val="both"/>
        <w:spacing w:after="0" w:line="297" w:lineRule="auto"/>
        <w:rPr>
          <w:rFonts w:ascii="Arial" w:cs="Arial" w:eastAsia="Arial" w:hAnsi="Arial"/>
          <w:sz w:val="22"/>
          <w:szCs w:val="22"/>
          <w:color w:val="auto"/>
        </w:rPr>
      </w:pPr>
      <w:r>
        <w:rPr>
          <w:rFonts w:ascii="Arial" w:cs="Arial" w:eastAsia="Arial" w:hAnsi="Arial"/>
          <w:sz w:val="19"/>
          <w:szCs w:val="19"/>
          <w:color w:val="auto"/>
        </w:rPr>
        <w:t>* The number of Shares and the percent of class ownership reported herein includes 3,134,746 Shares and 607,000 Shares issuable upon exercise of certain warrants of the Issuer held by the Reporting Persons. As further described in Section 6, the warrants held by the Reporting Persons are subject to limitations on the right to exercise to the extent that after giving effect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5" w:right="339" w:bottom="0" w:gutter="0" w:footer="0" w:header="0"/>
        </w:sectPr>
      </w:pPr>
    </w:p>
    <w:bookmarkStart w:id="2" w:name="page3"/>
    <w:bookmarkEnd w:id="2"/>
    <w:p>
      <w:pPr>
        <w:jc w:val="both"/>
        <w:spacing w:after="0" w:line="282" w:lineRule="auto"/>
        <w:rPr>
          <w:sz w:val="20"/>
          <w:szCs w:val="20"/>
          <w:color w:val="auto"/>
        </w:rPr>
      </w:pPr>
      <w:r>
        <w:rPr>
          <w:rFonts w:ascii="Arial" w:cs="Arial" w:eastAsia="Arial" w:hAnsi="Arial"/>
          <w:sz w:val="19"/>
          <w:szCs w:val="19"/>
          <w:color w:val="auto"/>
        </w:rPr>
        <w:t>such issuance after exercise, the Reporting Persons (together with the Reporting Persons’ affiliates, any other accounts managed by or over which Corre Partners Management, LLC or one of its affiliates has discretionary investment authority, or any other person or entity whose beneficial ownership of Shares would be aggregated with such persons’ beneficial ownership for purposes of Section 13(d) or Section 16 of the Securities Exchange Act of 1934), would beneficially own Shares in excess of 9.99% of the number of Shares outstanding (measured after giving effect to the issuance of Shares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tbl>
      <w:tblPr>
        <w:tblLayout w:type="fixed"/>
        <w:tblInd w:w="100" w:type="dxa"/>
        <w:tblCellMar>
          <w:top w:w="0" w:type="dxa"/>
          <w:left w:w="0" w:type="dxa"/>
          <w:bottom w:w="0" w:type="dxa"/>
          <w:right w:w="0" w:type="dxa"/>
        </w:tblCellMar>
      </w:tblPr>
      <w:tr>
        <w:trPr>
          <w:trHeight w:val="264"/>
        </w:trPr>
        <w:tc>
          <w:tcPr>
            <w:tcW w:w="1600" w:type="dxa"/>
            <w:vAlign w:val="bottom"/>
          </w:tcPr>
          <w:p>
            <w:pPr>
              <w:spacing w:after="0"/>
              <w:rPr>
                <w:sz w:val="20"/>
                <w:szCs w:val="20"/>
                <w:color w:val="auto"/>
              </w:rPr>
            </w:pPr>
            <w:r>
              <w:rPr>
                <w:rFonts w:ascii="Arial" w:cs="Arial" w:eastAsia="Arial" w:hAnsi="Arial"/>
                <w:sz w:val="22"/>
                <w:szCs w:val="22"/>
                <w:color w:val="auto"/>
              </w:rPr>
              <w:t>CUSIP No.</w:t>
            </w:r>
          </w:p>
        </w:tc>
        <w:tc>
          <w:tcPr>
            <w:tcW w:w="4280" w:type="dxa"/>
            <w:vAlign w:val="bottom"/>
            <w:tcBorders>
              <w:bottom w:val="single" w:sz="8" w:color="auto"/>
            </w:tcBorders>
          </w:tcPr>
          <w:p>
            <w:pPr>
              <w:jc w:val="right"/>
              <w:ind w:right="3112"/>
              <w:spacing w:after="0"/>
              <w:rPr>
                <w:sz w:val="20"/>
                <w:szCs w:val="20"/>
                <w:color w:val="auto"/>
              </w:rPr>
            </w:pPr>
            <w:r>
              <w:rPr>
                <w:rFonts w:ascii="Arial" w:cs="Arial" w:eastAsia="Arial" w:hAnsi="Arial"/>
                <w:sz w:val="22"/>
                <w:szCs w:val="22"/>
                <w:color w:val="auto"/>
                <w:w w:val="94"/>
              </w:rPr>
              <w:t>629337106</w:t>
            </w:r>
          </w:p>
        </w:tc>
      </w:tr>
    </w:tbl>
    <w:p>
      <w:pPr>
        <w:spacing w:after="0" w:line="222" w:lineRule="exact"/>
        <w:rPr>
          <w:sz w:val="20"/>
          <w:szCs w:val="20"/>
          <w:color w:val="auto"/>
        </w:rPr>
      </w:pPr>
    </w:p>
    <w:p>
      <w:pPr>
        <w:ind w:left="1000" w:hanging="895"/>
        <w:spacing w:after="0"/>
        <w:tabs>
          <w:tab w:leader="none" w:pos="10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8"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color w:val="auto"/>
        </w:rPr>
        <w:t>I.R.S. IDENTIFICATION NOS. OF ABOVE PERSONS (ENTITIES ONLY)</w:t>
      </w:r>
    </w:p>
    <w:p>
      <w:pPr>
        <w:spacing w:after="0" w:line="215" w:lineRule="exact"/>
        <w:rPr>
          <w:sz w:val="20"/>
          <w:szCs w:val="20"/>
          <w:color w:val="auto"/>
        </w:rPr>
      </w:pPr>
    </w:p>
    <w:tbl>
      <w:tblPr>
        <w:tblLayout w:type="fixed"/>
        <w:tblInd w:w="100" w:type="dxa"/>
        <w:tblCellMar>
          <w:top w:w="0" w:type="dxa"/>
          <w:left w:w="0" w:type="dxa"/>
          <w:bottom w:w="0" w:type="dxa"/>
          <w:right w:w="0" w:type="dxa"/>
        </w:tblCellMar>
      </w:tblPr>
      <w:tr>
        <w:trPr>
          <w:trHeight w:val="274"/>
        </w:trPr>
        <w:tc>
          <w:tcPr>
            <w:tcW w:w="540" w:type="dxa"/>
            <w:vAlign w:val="bottom"/>
          </w:tcPr>
          <w:p>
            <w:pPr>
              <w:spacing w:after="0"/>
              <w:rPr>
                <w:sz w:val="23"/>
                <w:szCs w:val="23"/>
                <w:color w:val="auto"/>
              </w:rPr>
            </w:pPr>
          </w:p>
        </w:tc>
        <w:tc>
          <w:tcPr>
            <w:tcW w:w="7960" w:type="dxa"/>
            <w:vAlign w:val="bottom"/>
          </w:tcPr>
          <w:p>
            <w:pPr>
              <w:ind w:left="360"/>
              <w:spacing w:after="0"/>
              <w:rPr>
                <w:sz w:val="20"/>
                <w:szCs w:val="20"/>
                <w:color w:val="auto"/>
              </w:rPr>
            </w:pPr>
            <w:r>
              <w:rPr>
                <w:rFonts w:ascii="Arial" w:cs="Arial" w:eastAsia="Arial" w:hAnsi="Arial"/>
                <w:sz w:val="22"/>
                <w:szCs w:val="22"/>
                <w:color w:val="auto"/>
              </w:rPr>
              <w:t>Corre Partners Advisors, LLC</w:t>
            </w:r>
          </w:p>
        </w:tc>
        <w:tc>
          <w:tcPr>
            <w:tcW w:w="20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55"/>
        </w:trPr>
        <w:tc>
          <w:tcPr>
            <w:tcW w:w="540" w:type="dxa"/>
            <w:vAlign w:val="bottom"/>
          </w:tcPr>
          <w:p>
            <w:pPr>
              <w:jc w:val="right"/>
              <w:ind w:right="272"/>
              <w:spacing w:after="0"/>
              <w:rPr>
                <w:sz w:val="20"/>
                <w:szCs w:val="20"/>
                <w:color w:val="auto"/>
              </w:rPr>
            </w:pPr>
            <w:r>
              <w:rPr>
                <w:rFonts w:ascii="Arial" w:cs="Arial" w:eastAsia="Arial" w:hAnsi="Arial"/>
                <w:sz w:val="22"/>
                <w:szCs w:val="22"/>
                <w:color w:val="auto"/>
                <w:w w:val="76"/>
              </w:rPr>
              <w:t>2.</w:t>
            </w:r>
          </w:p>
        </w:tc>
        <w:tc>
          <w:tcPr>
            <w:tcW w:w="7960" w:type="dxa"/>
            <w:vAlign w:val="bottom"/>
          </w:tcPr>
          <w:p>
            <w:pPr>
              <w:ind w:left="360"/>
              <w:spacing w:after="0"/>
              <w:rPr>
                <w:sz w:val="20"/>
                <w:szCs w:val="20"/>
                <w:color w:val="auto"/>
              </w:rPr>
            </w:pPr>
            <w:r>
              <w:rPr>
                <w:rFonts w:ascii="Arial" w:cs="Arial" w:eastAsia="Arial" w:hAnsi="Arial"/>
                <w:sz w:val="22"/>
                <w:szCs w:val="22"/>
                <w:color w:val="auto"/>
              </w:rPr>
              <w:t>CHECK THE APPROPRIATE BOX IF A MEMBER OF A GROUP</w:t>
            </w:r>
          </w:p>
        </w:tc>
        <w:tc>
          <w:tcPr>
            <w:tcW w:w="2020" w:type="dxa"/>
            <w:vAlign w:val="bottom"/>
          </w:tcPr>
          <w:p>
            <w:pPr>
              <w:ind w:left="1620"/>
              <w:spacing w:after="0"/>
              <w:rPr>
                <w:sz w:val="20"/>
                <w:szCs w:val="20"/>
                <w:color w:val="auto"/>
              </w:rPr>
            </w:pPr>
            <w:r>
              <w:rPr>
                <w:rFonts w:ascii="Arial" w:cs="Arial" w:eastAsia="Arial" w:hAnsi="Arial"/>
                <w:sz w:val="22"/>
                <w:szCs w:val="22"/>
                <w:color w:val="auto"/>
              </w:rPr>
              <w:t>(a)</w:t>
            </w:r>
          </w:p>
        </w:tc>
        <w:tc>
          <w:tcPr>
            <w:tcW w:w="420" w:type="dxa"/>
            <w:vAlign w:val="bottom"/>
          </w:tcPr>
          <w:p>
            <w:pPr>
              <w:jc w:val="right"/>
              <w:spacing w:after="0"/>
              <w:rPr>
                <w:sz w:val="20"/>
                <w:szCs w:val="20"/>
                <w:color w:val="auto"/>
              </w:rPr>
            </w:pPr>
            <w:r>
              <w:rPr>
                <w:rFonts w:ascii="Arial" w:cs="Arial" w:eastAsia="Arial" w:hAnsi="Arial"/>
                <w:sz w:val="22"/>
                <w:szCs w:val="22"/>
                <w:color w:val="auto"/>
              </w:rPr>
              <w:t>[_]</w:t>
            </w:r>
          </w:p>
        </w:tc>
      </w:tr>
      <w:tr>
        <w:trPr>
          <w:trHeight w:val="274"/>
        </w:trPr>
        <w:tc>
          <w:tcPr>
            <w:tcW w:w="54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2020" w:type="dxa"/>
            <w:vAlign w:val="bottom"/>
          </w:tcPr>
          <w:p>
            <w:pPr>
              <w:ind w:left="1620"/>
              <w:spacing w:after="0"/>
              <w:rPr>
                <w:sz w:val="20"/>
                <w:szCs w:val="20"/>
                <w:color w:val="auto"/>
              </w:rPr>
            </w:pPr>
            <w:r>
              <w:rPr>
                <w:rFonts w:ascii="Arial" w:cs="Arial" w:eastAsia="Arial" w:hAnsi="Arial"/>
                <w:sz w:val="22"/>
                <w:szCs w:val="22"/>
                <w:color w:val="auto"/>
              </w:rPr>
              <w:t>(b)</w:t>
            </w:r>
          </w:p>
        </w:tc>
        <w:tc>
          <w:tcPr>
            <w:tcW w:w="420" w:type="dxa"/>
            <w:vAlign w:val="bottom"/>
          </w:tcPr>
          <w:p>
            <w:pPr>
              <w:jc w:val="right"/>
              <w:spacing w:after="0"/>
              <w:rPr>
                <w:sz w:val="20"/>
                <w:szCs w:val="20"/>
                <w:color w:val="auto"/>
              </w:rPr>
            </w:pPr>
            <w:r>
              <w:rPr>
                <w:rFonts w:ascii="Arial" w:cs="Arial" w:eastAsia="Arial" w:hAnsi="Arial"/>
                <w:sz w:val="22"/>
                <w:szCs w:val="22"/>
                <w:color w:val="auto"/>
              </w:rPr>
              <w:t>[_]</w:t>
            </w:r>
          </w:p>
        </w:tc>
      </w:tr>
    </w:tbl>
    <w:p>
      <w:pPr>
        <w:spacing w:after="0" w:line="212" w:lineRule="exact"/>
        <w:rPr>
          <w:sz w:val="20"/>
          <w:szCs w:val="20"/>
          <w:color w:val="auto"/>
        </w:rPr>
      </w:pPr>
    </w:p>
    <w:p>
      <w:pPr>
        <w:ind w:left="1000" w:hanging="895"/>
        <w:spacing w:after="0"/>
        <w:tabs>
          <w:tab w:leader="none" w:pos="100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000" w:right="8280" w:hanging="895"/>
        <w:spacing w:after="0" w:line="461" w:lineRule="auto"/>
        <w:tabs>
          <w:tab w:leader="none" w:pos="1000" w:val="left"/>
        </w:tabs>
        <w:numPr>
          <w:ilvl w:val="0"/>
          <w:numId w:val="8"/>
        </w:numPr>
        <w:rPr>
          <w:rFonts w:ascii="Arial" w:cs="Arial" w:eastAsia="Arial" w:hAnsi="Arial"/>
          <w:sz w:val="22"/>
          <w:szCs w:val="22"/>
          <w:color w:val="auto"/>
        </w:rPr>
      </w:pPr>
      <w:r>
        <w:rPr>
          <w:rFonts w:ascii="Arial" w:cs="Arial" w:eastAsia="Arial" w:hAnsi="Arial"/>
          <w:sz w:val="22"/>
          <w:szCs w:val="22"/>
          <w:color w:val="auto"/>
        </w:rPr>
        <w:t>SOURCE OF FUNDS AF</w:t>
      </w:r>
    </w:p>
    <w:p>
      <w:pPr>
        <w:ind w:left="1000" w:hanging="895"/>
        <w:spacing w:after="0"/>
        <w:tabs>
          <w:tab w:leader="none" w:pos="100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CHECK BOX IF DISCLOSURE OF LEGAL PROCEEDINGS IS REQUIRED PURSUANT TO</w:t>
      </w:r>
    </w:p>
    <w:p>
      <w:pPr>
        <w:spacing w:after="0" w:line="8" w:lineRule="exact"/>
        <w:rPr>
          <w:sz w:val="20"/>
          <w:szCs w:val="20"/>
          <w:color w:val="auto"/>
        </w:rPr>
      </w:pPr>
    </w:p>
    <w:p>
      <w:pPr>
        <w:ind w:left="1000"/>
        <w:spacing w:after="0"/>
        <w:tabs>
          <w:tab w:leader="none" w:pos="10880" w:val="left"/>
        </w:tabs>
        <w:rPr>
          <w:sz w:val="20"/>
          <w:szCs w:val="20"/>
          <w:color w:val="auto"/>
        </w:rPr>
      </w:pPr>
      <w:r>
        <w:rPr>
          <w:rFonts w:ascii="Arial" w:cs="Arial" w:eastAsia="Arial" w:hAnsi="Arial"/>
          <w:sz w:val="22"/>
          <w:szCs w:val="22"/>
          <w:color w:val="auto"/>
        </w:rPr>
        <w:t>ITEMS 2(d) OR 2(e)</w:t>
      </w:r>
      <w:r>
        <w:rPr>
          <w:sz w:val="20"/>
          <w:szCs w:val="20"/>
          <w:color w:val="auto"/>
        </w:rPr>
        <w:tab/>
      </w:r>
      <w:r>
        <w:rPr>
          <w:rFonts w:ascii="Arial" w:cs="Arial" w:eastAsia="Arial" w:hAnsi="Arial"/>
          <w:sz w:val="21"/>
          <w:szCs w:val="21"/>
          <w:color w:val="auto"/>
        </w:rPr>
        <w:t>[_]</w:t>
      </w:r>
    </w:p>
    <w:p>
      <w:pPr>
        <w:spacing w:after="0" w:line="215" w:lineRule="exact"/>
        <w:rPr>
          <w:sz w:val="20"/>
          <w:szCs w:val="20"/>
          <w:color w:val="auto"/>
        </w:rPr>
      </w:pPr>
    </w:p>
    <w:p>
      <w:pPr>
        <w:ind w:left="1000" w:right="5820" w:hanging="895"/>
        <w:spacing w:after="0" w:line="461" w:lineRule="auto"/>
        <w:tabs>
          <w:tab w:leader="none" w:pos="1000" w:val="left"/>
        </w:tabs>
        <w:numPr>
          <w:ilvl w:val="0"/>
          <w:numId w:val="9"/>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ind w:left="100"/>
        <w:spacing w:after="0"/>
        <w:rPr>
          <w:sz w:val="20"/>
          <w:szCs w:val="20"/>
          <w:color w:val="auto"/>
        </w:rPr>
      </w:pPr>
      <w:r>
        <w:rPr>
          <w:rFonts w:ascii="Arial" w:cs="Arial" w:eastAsia="Arial" w:hAnsi="Arial"/>
          <w:sz w:val="22"/>
          <w:szCs w:val="22"/>
          <w:color w:val="auto"/>
        </w:rPr>
        <w:t>NUMBER OF SHARES BENEFICIALLY OWNED BY EACH REPORTING PERSON</w:t>
      </w:r>
    </w:p>
    <w:p>
      <w:pPr>
        <w:spacing w:after="0" w:line="233" w:lineRule="exact"/>
        <w:rPr>
          <w:sz w:val="20"/>
          <w:szCs w:val="20"/>
          <w:color w:val="auto"/>
        </w:rPr>
      </w:pPr>
    </w:p>
    <w:p>
      <w:pPr>
        <w:ind w:left="1000" w:right="8000" w:hanging="895"/>
        <w:spacing w:after="0" w:line="461" w:lineRule="auto"/>
        <w:tabs>
          <w:tab w:leader="none" w:pos="10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SOLE VOTING POWER 0</w:t>
      </w:r>
    </w:p>
    <w:p>
      <w:pPr>
        <w:ind w:left="1000" w:right="7680" w:hanging="895"/>
        <w:spacing w:after="0" w:line="461" w:lineRule="auto"/>
        <w:tabs>
          <w:tab w:leader="none" w:pos="10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SHARED VOTING POWER 4,362,481*</w:t>
      </w:r>
    </w:p>
    <w:p>
      <w:pPr>
        <w:ind w:left="1000" w:right="7520" w:hanging="895"/>
        <w:spacing w:after="0" w:line="461" w:lineRule="auto"/>
        <w:tabs>
          <w:tab w:leader="none" w:pos="10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SOLE DISPOSITIVE POWER 0</w:t>
      </w:r>
    </w:p>
    <w:p>
      <w:pPr>
        <w:ind w:left="1000" w:right="7200" w:hanging="895"/>
        <w:spacing w:after="0" w:line="461" w:lineRule="auto"/>
        <w:tabs>
          <w:tab w:leader="none" w:pos="10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SHARED DISPOSITIVE POWER 4,362,481*</w:t>
      </w:r>
    </w:p>
    <w:p>
      <w:pPr>
        <w:ind w:left="1000" w:right="2360" w:hanging="895"/>
        <w:spacing w:after="0" w:line="481" w:lineRule="auto"/>
        <w:tabs>
          <w:tab w:leader="none" w:pos="10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4,362,481*</w:t>
      </w:r>
    </w:p>
    <w:p>
      <w:pPr>
        <w:spacing w:after="0" w:line="201" w:lineRule="exact"/>
        <w:rPr>
          <w:rFonts w:ascii="Arial" w:cs="Arial" w:eastAsia="Arial" w:hAnsi="Arial"/>
          <w:sz w:val="22"/>
          <w:szCs w:val="22"/>
          <w:color w:val="auto"/>
        </w:rPr>
      </w:pPr>
    </w:p>
    <w:p>
      <w:pPr>
        <w:ind w:left="1000" w:hanging="895"/>
        <w:spacing w:after="0"/>
        <w:tabs>
          <w:tab w:leader="none" w:pos="10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CHECK BOX IF THE AGGREGATE AMOUNT IN ROW (11) EXCLUDES CERTAIN SHARES</w:t>
      </w:r>
    </w:p>
    <w:p>
      <w:pPr>
        <w:spacing w:after="0" w:line="8" w:lineRule="exact"/>
        <w:rPr>
          <w:sz w:val="20"/>
          <w:szCs w:val="20"/>
          <w:color w:val="auto"/>
        </w:rPr>
      </w:pPr>
    </w:p>
    <w:p>
      <w:pPr>
        <w:ind w:left="10900"/>
        <w:spacing w:after="0"/>
        <w:rPr>
          <w:sz w:val="20"/>
          <w:szCs w:val="20"/>
          <w:color w:val="auto"/>
        </w:rPr>
      </w:pPr>
      <w:r>
        <w:rPr>
          <w:rFonts w:ascii="Arial" w:cs="Arial" w:eastAsia="Arial" w:hAnsi="Arial"/>
          <w:sz w:val="22"/>
          <w:szCs w:val="22"/>
          <w:color w:val="auto"/>
        </w:rPr>
        <w:t>[_]</w:t>
      </w:r>
    </w:p>
    <w:p>
      <w:pPr>
        <w:spacing w:after="0" w:line="215" w:lineRule="exact"/>
        <w:rPr>
          <w:sz w:val="20"/>
          <w:szCs w:val="20"/>
          <w:color w:val="auto"/>
        </w:rPr>
      </w:pPr>
    </w:p>
    <w:p>
      <w:pPr>
        <w:ind w:left="1000" w:hanging="895"/>
        <w:spacing w:after="0"/>
        <w:tabs>
          <w:tab w:leader="none" w:pos="10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PERCENT OF CLASS REPRESENTED BY AMOUNT IN ROW (11)</w:t>
      </w:r>
    </w:p>
    <w:p>
      <w:pPr>
        <w:spacing w:after="0" w:line="233"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color w:val="auto"/>
        </w:rPr>
        <w:t>9.99%*</w:t>
      </w:r>
    </w:p>
    <w:p>
      <w:pPr>
        <w:spacing w:after="0" w:line="233" w:lineRule="exact"/>
        <w:rPr>
          <w:rFonts w:ascii="Arial" w:cs="Arial" w:eastAsia="Arial" w:hAnsi="Arial"/>
          <w:sz w:val="22"/>
          <w:szCs w:val="22"/>
          <w:color w:val="auto"/>
        </w:rPr>
      </w:pPr>
    </w:p>
    <w:p>
      <w:pPr>
        <w:ind w:left="1000" w:right="7220" w:hanging="895"/>
        <w:spacing w:after="0" w:line="481" w:lineRule="auto"/>
        <w:tabs>
          <w:tab w:leader="none" w:pos="10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TYPE OF REPORTING PERSON OO</w:t>
      </w:r>
    </w:p>
    <w:p>
      <w:pPr>
        <w:spacing w:after="0" w:line="214" w:lineRule="exact"/>
        <w:rPr>
          <w:rFonts w:ascii="Arial" w:cs="Arial" w:eastAsia="Arial" w:hAnsi="Arial"/>
          <w:sz w:val="22"/>
          <w:szCs w:val="22"/>
          <w:color w:val="auto"/>
        </w:rPr>
      </w:pPr>
    </w:p>
    <w:p>
      <w:pPr>
        <w:jc w:val="both"/>
        <w:spacing w:after="0" w:line="287" w:lineRule="auto"/>
        <w:rPr>
          <w:rFonts w:ascii="Arial" w:cs="Arial" w:eastAsia="Arial" w:hAnsi="Arial"/>
          <w:sz w:val="22"/>
          <w:szCs w:val="22"/>
          <w:color w:val="auto"/>
        </w:rPr>
      </w:pPr>
      <w:r>
        <w:rPr>
          <w:rFonts w:ascii="Arial" w:cs="Arial" w:eastAsia="Arial" w:hAnsi="Arial"/>
          <w:sz w:val="19"/>
          <w:szCs w:val="19"/>
          <w:color w:val="auto"/>
        </w:rPr>
        <w:t>* The number of Shares and the percent of class ownership reported herein includes 3,755,481 Shares and 607,000 Shares issuable upon exercise of certain warrants of the Issuer held by the Reporting Persons. As further described in Section 6, the warrants held by the Reporting Persons are subject to limitations on the right to exercise to the extent that after giving effect to such issuance after exercise, the Reporting Persons (together with the Reporting Persons’ affiliates, any other accounts managed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5" w:right="339" w:bottom="0" w:gutter="0" w:footer="0" w:header="0"/>
        </w:sectPr>
      </w:pPr>
    </w:p>
    <w:bookmarkStart w:id="4" w:name="page5"/>
    <w:bookmarkEnd w:id="4"/>
    <w:p>
      <w:pPr>
        <w:jc w:val="both"/>
        <w:spacing w:after="0" w:line="282" w:lineRule="auto"/>
        <w:rPr>
          <w:sz w:val="20"/>
          <w:szCs w:val="20"/>
          <w:color w:val="auto"/>
        </w:rPr>
      </w:pPr>
      <w:r>
        <w:rPr>
          <w:rFonts w:ascii="Arial" w:cs="Arial" w:eastAsia="Arial" w:hAnsi="Arial"/>
          <w:sz w:val="19"/>
          <w:szCs w:val="19"/>
          <w:color w:val="auto"/>
        </w:rPr>
        <w:t>by or over which Corre Partners Management, LLC or one of its affiliates has discretionary investment authority, or any other person or entity whose beneficial ownership of Shares would be aggregated with such persons’ beneficial ownership for purposes of Section 13(d) or Section 16 of the Securities Exchange Act of 1934), would, when aggregated with all other Shares beneficially owned by such Reporting Persons at such time, beneficially own Shares in excess of 9.99% of the number of Shares outstanding (measured after giving effect to the issuance of Shares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tbl>
      <w:tblPr>
        <w:tblLayout w:type="fixed"/>
        <w:tblInd w:w="100" w:type="dxa"/>
        <w:tblCellMar>
          <w:top w:w="0" w:type="dxa"/>
          <w:left w:w="0" w:type="dxa"/>
          <w:bottom w:w="0" w:type="dxa"/>
          <w:right w:w="0" w:type="dxa"/>
        </w:tblCellMar>
      </w:tblPr>
      <w:tr>
        <w:trPr>
          <w:trHeight w:val="264"/>
        </w:trPr>
        <w:tc>
          <w:tcPr>
            <w:tcW w:w="1600" w:type="dxa"/>
            <w:vAlign w:val="bottom"/>
          </w:tcPr>
          <w:p>
            <w:pPr>
              <w:spacing w:after="0"/>
              <w:rPr>
                <w:sz w:val="20"/>
                <w:szCs w:val="20"/>
                <w:color w:val="auto"/>
              </w:rPr>
            </w:pPr>
            <w:r>
              <w:rPr>
                <w:rFonts w:ascii="Arial" w:cs="Arial" w:eastAsia="Arial" w:hAnsi="Arial"/>
                <w:sz w:val="22"/>
                <w:szCs w:val="22"/>
                <w:color w:val="auto"/>
              </w:rPr>
              <w:t>CUSIP No.</w:t>
            </w:r>
          </w:p>
        </w:tc>
        <w:tc>
          <w:tcPr>
            <w:tcW w:w="4280" w:type="dxa"/>
            <w:vAlign w:val="bottom"/>
            <w:tcBorders>
              <w:bottom w:val="single" w:sz="8" w:color="auto"/>
            </w:tcBorders>
          </w:tcPr>
          <w:p>
            <w:pPr>
              <w:jc w:val="right"/>
              <w:ind w:right="3112"/>
              <w:spacing w:after="0"/>
              <w:rPr>
                <w:sz w:val="20"/>
                <w:szCs w:val="20"/>
                <w:color w:val="auto"/>
              </w:rPr>
            </w:pPr>
            <w:r>
              <w:rPr>
                <w:rFonts w:ascii="Arial" w:cs="Arial" w:eastAsia="Arial" w:hAnsi="Arial"/>
                <w:sz w:val="22"/>
                <w:szCs w:val="22"/>
                <w:color w:val="auto"/>
                <w:w w:val="94"/>
              </w:rPr>
              <w:t>629337106</w:t>
            </w:r>
          </w:p>
        </w:tc>
      </w:tr>
    </w:tbl>
    <w:p>
      <w:pPr>
        <w:spacing w:after="0" w:line="222" w:lineRule="exact"/>
        <w:rPr>
          <w:sz w:val="20"/>
          <w:szCs w:val="20"/>
          <w:color w:val="auto"/>
        </w:rPr>
      </w:pPr>
    </w:p>
    <w:p>
      <w:pPr>
        <w:ind w:left="1000" w:hanging="895"/>
        <w:spacing w:after="0"/>
        <w:tabs>
          <w:tab w:leader="none" w:pos="10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8"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color w:val="auto"/>
        </w:rPr>
        <w:t>I.R.S. IDENTIFICATION NOS. OF ABOVE PERSONS (ENTITIES ONLY)</w:t>
      </w:r>
    </w:p>
    <w:p>
      <w:pPr>
        <w:spacing w:after="0" w:line="215" w:lineRule="exact"/>
        <w:rPr>
          <w:sz w:val="20"/>
          <w:szCs w:val="20"/>
          <w:color w:val="auto"/>
        </w:rPr>
      </w:pPr>
    </w:p>
    <w:tbl>
      <w:tblPr>
        <w:tblLayout w:type="fixed"/>
        <w:tblInd w:w="100" w:type="dxa"/>
        <w:tblCellMar>
          <w:top w:w="0" w:type="dxa"/>
          <w:left w:w="0" w:type="dxa"/>
          <w:bottom w:w="0" w:type="dxa"/>
          <w:right w:w="0" w:type="dxa"/>
        </w:tblCellMar>
      </w:tblPr>
      <w:tr>
        <w:trPr>
          <w:trHeight w:val="274"/>
        </w:trPr>
        <w:tc>
          <w:tcPr>
            <w:tcW w:w="540" w:type="dxa"/>
            <w:vAlign w:val="bottom"/>
          </w:tcPr>
          <w:p>
            <w:pPr>
              <w:spacing w:after="0"/>
              <w:rPr>
                <w:sz w:val="23"/>
                <w:szCs w:val="23"/>
                <w:color w:val="auto"/>
              </w:rPr>
            </w:pPr>
          </w:p>
        </w:tc>
        <w:tc>
          <w:tcPr>
            <w:tcW w:w="7960" w:type="dxa"/>
            <w:vAlign w:val="bottom"/>
          </w:tcPr>
          <w:p>
            <w:pPr>
              <w:ind w:left="360"/>
              <w:spacing w:after="0"/>
              <w:rPr>
                <w:sz w:val="20"/>
                <w:szCs w:val="20"/>
                <w:color w:val="auto"/>
              </w:rPr>
            </w:pPr>
            <w:r>
              <w:rPr>
                <w:rFonts w:ascii="Arial" w:cs="Arial" w:eastAsia="Arial" w:hAnsi="Arial"/>
                <w:sz w:val="22"/>
                <w:szCs w:val="22"/>
                <w:color w:val="auto"/>
              </w:rPr>
              <w:t>Corre Partners Management, LLC</w:t>
            </w:r>
          </w:p>
        </w:tc>
        <w:tc>
          <w:tcPr>
            <w:tcW w:w="20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55"/>
        </w:trPr>
        <w:tc>
          <w:tcPr>
            <w:tcW w:w="540" w:type="dxa"/>
            <w:vAlign w:val="bottom"/>
          </w:tcPr>
          <w:p>
            <w:pPr>
              <w:jc w:val="right"/>
              <w:ind w:right="272"/>
              <w:spacing w:after="0"/>
              <w:rPr>
                <w:sz w:val="20"/>
                <w:szCs w:val="20"/>
                <w:color w:val="auto"/>
              </w:rPr>
            </w:pPr>
            <w:r>
              <w:rPr>
                <w:rFonts w:ascii="Arial" w:cs="Arial" w:eastAsia="Arial" w:hAnsi="Arial"/>
                <w:sz w:val="22"/>
                <w:szCs w:val="22"/>
                <w:color w:val="auto"/>
                <w:w w:val="76"/>
              </w:rPr>
              <w:t>2.</w:t>
            </w:r>
          </w:p>
        </w:tc>
        <w:tc>
          <w:tcPr>
            <w:tcW w:w="7960" w:type="dxa"/>
            <w:vAlign w:val="bottom"/>
          </w:tcPr>
          <w:p>
            <w:pPr>
              <w:ind w:left="360"/>
              <w:spacing w:after="0"/>
              <w:rPr>
                <w:sz w:val="20"/>
                <w:szCs w:val="20"/>
                <w:color w:val="auto"/>
              </w:rPr>
            </w:pPr>
            <w:r>
              <w:rPr>
                <w:rFonts w:ascii="Arial" w:cs="Arial" w:eastAsia="Arial" w:hAnsi="Arial"/>
                <w:sz w:val="22"/>
                <w:szCs w:val="22"/>
                <w:color w:val="auto"/>
              </w:rPr>
              <w:t>CHECK THE APPROPRIATE BOX IF A MEMBER OF A GROUP</w:t>
            </w:r>
          </w:p>
        </w:tc>
        <w:tc>
          <w:tcPr>
            <w:tcW w:w="2020" w:type="dxa"/>
            <w:vAlign w:val="bottom"/>
          </w:tcPr>
          <w:p>
            <w:pPr>
              <w:ind w:left="1620"/>
              <w:spacing w:after="0"/>
              <w:rPr>
                <w:sz w:val="20"/>
                <w:szCs w:val="20"/>
                <w:color w:val="auto"/>
              </w:rPr>
            </w:pPr>
            <w:r>
              <w:rPr>
                <w:rFonts w:ascii="Arial" w:cs="Arial" w:eastAsia="Arial" w:hAnsi="Arial"/>
                <w:sz w:val="22"/>
                <w:szCs w:val="22"/>
                <w:color w:val="auto"/>
              </w:rPr>
              <w:t>(a)</w:t>
            </w:r>
          </w:p>
        </w:tc>
        <w:tc>
          <w:tcPr>
            <w:tcW w:w="420" w:type="dxa"/>
            <w:vAlign w:val="bottom"/>
          </w:tcPr>
          <w:p>
            <w:pPr>
              <w:jc w:val="right"/>
              <w:spacing w:after="0"/>
              <w:rPr>
                <w:sz w:val="20"/>
                <w:szCs w:val="20"/>
                <w:color w:val="auto"/>
              </w:rPr>
            </w:pPr>
            <w:r>
              <w:rPr>
                <w:rFonts w:ascii="Arial" w:cs="Arial" w:eastAsia="Arial" w:hAnsi="Arial"/>
                <w:sz w:val="22"/>
                <w:szCs w:val="22"/>
                <w:color w:val="auto"/>
              </w:rPr>
              <w:t>[_]</w:t>
            </w:r>
          </w:p>
        </w:tc>
      </w:tr>
      <w:tr>
        <w:trPr>
          <w:trHeight w:val="274"/>
        </w:trPr>
        <w:tc>
          <w:tcPr>
            <w:tcW w:w="54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2020" w:type="dxa"/>
            <w:vAlign w:val="bottom"/>
          </w:tcPr>
          <w:p>
            <w:pPr>
              <w:ind w:left="1620"/>
              <w:spacing w:after="0"/>
              <w:rPr>
                <w:sz w:val="20"/>
                <w:szCs w:val="20"/>
                <w:color w:val="auto"/>
              </w:rPr>
            </w:pPr>
            <w:r>
              <w:rPr>
                <w:rFonts w:ascii="Arial" w:cs="Arial" w:eastAsia="Arial" w:hAnsi="Arial"/>
                <w:sz w:val="22"/>
                <w:szCs w:val="22"/>
                <w:color w:val="auto"/>
              </w:rPr>
              <w:t>(b)</w:t>
            </w:r>
          </w:p>
        </w:tc>
        <w:tc>
          <w:tcPr>
            <w:tcW w:w="420" w:type="dxa"/>
            <w:vAlign w:val="bottom"/>
          </w:tcPr>
          <w:p>
            <w:pPr>
              <w:jc w:val="right"/>
              <w:spacing w:after="0"/>
              <w:rPr>
                <w:sz w:val="20"/>
                <w:szCs w:val="20"/>
                <w:color w:val="auto"/>
              </w:rPr>
            </w:pPr>
            <w:r>
              <w:rPr>
                <w:rFonts w:ascii="Arial" w:cs="Arial" w:eastAsia="Arial" w:hAnsi="Arial"/>
                <w:sz w:val="22"/>
                <w:szCs w:val="22"/>
                <w:color w:val="auto"/>
              </w:rPr>
              <w:t>[_]</w:t>
            </w:r>
          </w:p>
        </w:tc>
      </w:tr>
    </w:tbl>
    <w:p>
      <w:pPr>
        <w:spacing w:after="0" w:line="212" w:lineRule="exact"/>
        <w:rPr>
          <w:sz w:val="20"/>
          <w:szCs w:val="20"/>
          <w:color w:val="auto"/>
        </w:rPr>
      </w:pPr>
    </w:p>
    <w:p>
      <w:pPr>
        <w:ind w:left="1000" w:hanging="895"/>
        <w:spacing w:after="0"/>
        <w:tabs>
          <w:tab w:leader="none" w:pos="10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000" w:right="8280" w:hanging="895"/>
        <w:spacing w:after="0" w:line="461" w:lineRule="auto"/>
        <w:tabs>
          <w:tab w:leader="none" w:pos="10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SOURCE OF FUNDS AF</w:t>
      </w:r>
    </w:p>
    <w:p>
      <w:pPr>
        <w:ind w:left="1000" w:hanging="895"/>
        <w:spacing w:after="0"/>
        <w:tabs>
          <w:tab w:leader="none" w:pos="10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CHECK BOX IF DISCLOSURE OF LEGAL PROCEEDINGS IS REQUIRED PURSUANT TO</w:t>
      </w:r>
    </w:p>
    <w:p>
      <w:pPr>
        <w:spacing w:after="0" w:line="8" w:lineRule="exact"/>
        <w:rPr>
          <w:sz w:val="20"/>
          <w:szCs w:val="20"/>
          <w:color w:val="auto"/>
        </w:rPr>
      </w:pPr>
    </w:p>
    <w:p>
      <w:pPr>
        <w:ind w:left="1000"/>
        <w:spacing w:after="0"/>
        <w:tabs>
          <w:tab w:leader="none" w:pos="10880" w:val="left"/>
        </w:tabs>
        <w:rPr>
          <w:sz w:val="20"/>
          <w:szCs w:val="20"/>
          <w:color w:val="auto"/>
        </w:rPr>
      </w:pPr>
      <w:r>
        <w:rPr>
          <w:rFonts w:ascii="Arial" w:cs="Arial" w:eastAsia="Arial" w:hAnsi="Arial"/>
          <w:sz w:val="22"/>
          <w:szCs w:val="22"/>
          <w:color w:val="auto"/>
        </w:rPr>
        <w:t>ITEMS 2(d) OR 2(e)</w:t>
      </w:r>
      <w:r>
        <w:rPr>
          <w:sz w:val="20"/>
          <w:szCs w:val="20"/>
          <w:color w:val="auto"/>
        </w:rPr>
        <w:tab/>
      </w:r>
      <w:r>
        <w:rPr>
          <w:rFonts w:ascii="Arial" w:cs="Arial" w:eastAsia="Arial" w:hAnsi="Arial"/>
          <w:sz w:val="21"/>
          <w:szCs w:val="21"/>
          <w:color w:val="auto"/>
        </w:rPr>
        <w:t>[_]</w:t>
      </w:r>
    </w:p>
    <w:p>
      <w:pPr>
        <w:spacing w:after="0" w:line="215" w:lineRule="exact"/>
        <w:rPr>
          <w:sz w:val="20"/>
          <w:szCs w:val="20"/>
          <w:color w:val="auto"/>
        </w:rPr>
      </w:pPr>
    </w:p>
    <w:p>
      <w:pPr>
        <w:ind w:left="1000" w:right="5820" w:hanging="895"/>
        <w:spacing w:after="0" w:line="461" w:lineRule="auto"/>
        <w:tabs>
          <w:tab w:leader="none" w:pos="10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ind w:left="100"/>
        <w:spacing w:after="0"/>
        <w:rPr>
          <w:sz w:val="20"/>
          <w:szCs w:val="20"/>
          <w:color w:val="auto"/>
        </w:rPr>
      </w:pPr>
      <w:r>
        <w:rPr>
          <w:rFonts w:ascii="Arial" w:cs="Arial" w:eastAsia="Arial" w:hAnsi="Arial"/>
          <w:sz w:val="22"/>
          <w:szCs w:val="22"/>
          <w:color w:val="auto"/>
        </w:rPr>
        <w:t>NUMBER OF SHARES BENEFICIALLY OWNED BY EACH REPORTING PERSON</w:t>
      </w:r>
    </w:p>
    <w:p>
      <w:pPr>
        <w:spacing w:after="0" w:line="233" w:lineRule="exact"/>
        <w:rPr>
          <w:sz w:val="20"/>
          <w:szCs w:val="20"/>
          <w:color w:val="auto"/>
        </w:rPr>
      </w:pPr>
    </w:p>
    <w:p>
      <w:pPr>
        <w:ind w:left="1000" w:right="8000" w:hanging="895"/>
        <w:spacing w:after="0" w:line="461" w:lineRule="auto"/>
        <w:tabs>
          <w:tab w:leader="none" w:pos="10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SOLE VOTING POWER 0</w:t>
      </w:r>
    </w:p>
    <w:p>
      <w:pPr>
        <w:ind w:left="1000" w:right="7680" w:hanging="895"/>
        <w:spacing w:after="0" w:line="461" w:lineRule="auto"/>
        <w:tabs>
          <w:tab w:leader="none" w:pos="10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SHARED VOTING POWER 4,362,481*</w:t>
      </w:r>
    </w:p>
    <w:p>
      <w:pPr>
        <w:ind w:left="1000" w:right="7520" w:hanging="895"/>
        <w:spacing w:after="0" w:line="461" w:lineRule="auto"/>
        <w:tabs>
          <w:tab w:leader="none" w:pos="10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SOLE DISPOSITIVE POWER 0</w:t>
      </w:r>
    </w:p>
    <w:p>
      <w:pPr>
        <w:ind w:left="1000" w:right="7200" w:hanging="895"/>
        <w:spacing w:after="0" w:line="461" w:lineRule="auto"/>
        <w:tabs>
          <w:tab w:leader="none" w:pos="10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SHARED DISPOSITIVE POWER 4,362,481*</w:t>
      </w:r>
    </w:p>
    <w:p>
      <w:pPr>
        <w:ind w:left="1000" w:right="2360" w:hanging="895"/>
        <w:spacing w:after="0" w:line="481" w:lineRule="auto"/>
        <w:tabs>
          <w:tab w:leader="none" w:pos="10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4,362,481*</w:t>
      </w:r>
    </w:p>
    <w:p>
      <w:pPr>
        <w:spacing w:after="0" w:line="201" w:lineRule="exact"/>
        <w:rPr>
          <w:rFonts w:ascii="Arial" w:cs="Arial" w:eastAsia="Arial" w:hAnsi="Arial"/>
          <w:sz w:val="22"/>
          <w:szCs w:val="22"/>
          <w:color w:val="auto"/>
        </w:rPr>
      </w:pPr>
    </w:p>
    <w:p>
      <w:pPr>
        <w:ind w:left="1000" w:hanging="895"/>
        <w:spacing w:after="0"/>
        <w:tabs>
          <w:tab w:leader="none" w:pos="10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CHECK BOX IF THE AGGREGATE AMOUNT IN ROW (11) EXCLUDES CERTAIN SHARES</w:t>
      </w:r>
    </w:p>
    <w:p>
      <w:pPr>
        <w:spacing w:after="0" w:line="8" w:lineRule="exact"/>
        <w:rPr>
          <w:sz w:val="20"/>
          <w:szCs w:val="20"/>
          <w:color w:val="auto"/>
        </w:rPr>
      </w:pPr>
    </w:p>
    <w:p>
      <w:pPr>
        <w:ind w:left="10900"/>
        <w:spacing w:after="0"/>
        <w:rPr>
          <w:sz w:val="20"/>
          <w:szCs w:val="20"/>
          <w:color w:val="auto"/>
        </w:rPr>
      </w:pPr>
      <w:r>
        <w:rPr>
          <w:rFonts w:ascii="Arial" w:cs="Arial" w:eastAsia="Arial" w:hAnsi="Arial"/>
          <w:sz w:val="22"/>
          <w:szCs w:val="22"/>
          <w:color w:val="auto"/>
        </w:rPr>
        <w:t>[_]</w:t>
      </w:r>
    </w:p>
    <w:p>
      <w:pPr>
        <w:spacing w:after="0" w:line="215" w:lineRule="exact"/>
        <w:rPr>
          <w:sz w:val="20"/>
          <w:szCs w:val="20"/>
          <w:color w:val="auto"/>
        </w:rPr>
      </w:pPr>
    </w:p>
    <w:p>
      <w:pPr>
        <w:ind w:left="1000" w:hanging="895"/>
        <w:spacing w:after="0"/>
        <w:tabs>
          <w:tab w:leader="none" w:pos="10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PERCENT OF CLASS REPRESENTED BY AMOUNT IN ROW (11)</w:t>
      </w:r>
    </w:p>
    <w:p>
      <w:pPr>
        <w:spacing w:after="0" w:line="233"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color w:val="auto"/>
        </w:rPr>
        <w:t>9.99%*</w:t>
      </w:r>
    </w:p>
    <w:p>
      <w:pPr>
        <w:spacing w:after="0" w:line="233" w:lineRule="exact"/>
        <w:rPr>
          <w:rFonts w:ascii="Arial" w:cs="Arial" w:eastAsia="Arial" w:hAnsi="Arial"/>
          <w:sz w:val="22"/>
          <w:szCs w:val="22"/>
          <w:color w:val="auto"/>
        </w:rPr>
      </w:pPr>
    </w:p>
    <w:p>
      <w:pPr>
        <w:ind w:left="1000" w:right="7220" w:hanging="895"/>
        <w:spacing w:after="0" w:line="481" w:lineRule="auto"/>
        <w:tabs>
          <w:tab w:leader="none" w:pos="10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TYPE OF REPORTING PERSON IA, OO</w:t>
      </w:r>
    </w:p>
    <w:p>
      <w:pPr>
        <w:spacing w:after="0" w:line="214" w:lineRule="exact"/>
        <w:rPr>
          <w:rFonts w:ascii="Arial" w:cs="Arial" w:eastAsia="Arial" w:hAnsi="Arial"/>
          <w:sz w:val="22"/>
          <w:szCs w:val="22"/>
          <w:color w:val="auto"/>
        </w:rPr>
      </w:pPr>
    </w:p>
    <w:p>
      <w:pPr>
        <w:jc w:val="both"/>
        <w:spacing w:after="0" w:line="287" w:lineRule="auto"/>
        <w:rPr>
          <w:rFonts w:ascii="Arial" w:cs="Arial" w:eastAsia="Arial" w:hAnsi="Arial"/>
          <w:sz w:val="22"/>
          <w:szCs w:val="22"/>
          <w:color w:val="auto"/>
        </w:rPr>
      </w:pPr>
      <w:r>
        <w:rPr>
          <w:rFonts w:ascii="Arial" w:cs="Arial" w:eastAsia="Arial" w:hAnsi="Arial"/>
          <w:sz w:val="19"/>
          <w:szCs w:val="19"/>
          <w:color w:val="auto"/>
        </w:rPr>
        <w:t>* The number of Shares and the percent of class ownership reported herein includes 3,755,481 Shares and 607,000 Shares issuable upon exercise of certain warrants of the Issuer held by the Reporting Persons. As further described in Section 6, the warrants held by the Reporting Persons are subject to limitations on the right to exercise to the extent that after giving effect to such issuance after exercise, the Reporting Persons (together with the Reporting Persons’ affiliates, any other accounts managed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5" w:right="339" w:bottom="0" w:gutter="0" w:footer="0" w:header="0"/>
        </w:sectPr>
      </w:pPr>
    </w:p>
    <w:bookmarkStart w:id="6" w:name="page7"/>
    <w:bookmarkEnd w:id="6"/>
    <w:p>
      <w:pPr>
        <w:jc w:val="both"/>
        <w:spacing w:after="0" w:line="282" w:lineRule="auto"/>
        <w:rPr>
          <w:sz w:val="20"/>
          <w:szCs w:val="20"/>
          <w:color w:val="auto"/>
        </w:rPr>
      </w:pPr>
      <w:r>
        <w:rPr>
          <w:rFonts w:ascii="Arial" w:cs="Arial" w:eastAsia="Arial" w:hAnsi="Arial"/>
          <w:sz w:val="19"/>
          <w:szCs w:val="19"/>
          <w:color w:val="auto"/>
        </w:rPr>
        <w:t>by or over which Corre Partners Management, LLC or one of its affiliates has discretionary investment authority, or any other person or entity whose beneficial ownership of Shares would be aggregated with such persons’ beneficial ownership for purposes of Section 13(d) or Section 16 of the Securities Exchange Act of 1934), would, when aggregated with all other Shares beneficially owned by such Reporting Persons at such time, beneficially own Shares in excess of 9.99% of the number of Shares outstanding (measured after giving effect to the issuance of Shares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264"/>
        </w:trPr>
        <w:tc>
          <w:tcPr>
            <w:tcW w:w="1600" w:type="dxa"/>
            <w:vAlign w:val="bottom"/>
          </w:tcPr>
          <w:p>
            <w:pPr>
              <w:spacing w:after="0"/>
              <w:rPr>
                <w:sz w:val="20"/>
                <w:szCs w:val="20"/>
                <w:color w:val="auto"/>
              </w:rPr>
            </w:pPr>
            <w:r>
              <w:rPr>
                <w:rFonts w:ascii="Arial" w:cs="Arial" w:eastAsia="Arial" w:hAnsi="Arial"/>
                <w:sz w:val="22"/>
                <w:szCs w:val="22"/>
                <w:color w:val="auto"/>
              </w:rPr>
              <w:t>CUSIP No.</w:t>
            </w:r>
          </w:p>
        </w:tc>
        <w:tc>
          <w:tcPr>
            <w:tcW w:w="4280" w:type="dxa"/>
            <w:vAlign w:val="bottom"/>
            <w:tcBorders>
              <w:bottom w:val="single" w:sz="8" w:color="auto"/>
            </w:tcBorders>
          </w:tcPr>
          <w:p>
            <w:pPr>
              <w:jc w:val="right"/>
              <w:ind w:right="3112"/>
              <w:spacing w:after="0"/>
              <w:rPr>
                <w:sz w:val="20"/>
                <w:szCs w:val="20"/>
                <w:color w:val="auto"/>
              </w:rPr>
            </w:pPr>
            <w:r>
              <w:rPr>
                <w:rFonts w:ascii="Arial" w:cs="Arial" w:eastAsia="Arial" w:hAnsi="Arial"/>
                <w:sz w:val="22"/>
                <w:szCs w:val="22"/>
                <w:color w:val="auto"/>
                <w:w w:val="94"/>
              </w:rPr>
              <w:t>629337106</w:t>
            </w:r>
          </w:p>
        </w:tc>
      </w:tr>
    </w:tbl>
    <w:p>
      <w:pPr>
        <w:spacing w:after="0" w:line="222" w:lineRule="exact"/>
        <w:rPr>
          <w:sz w:val="20"/>
          <w:szCs w:val="20"/>
          <w:color w:val="auto"/>
        </w:rPr>
      </w:pPr>
    </w:p>
    <w:p>
      <w:pPr>
        <w:ind w:left="1000" w:hanging="895"/>
        <w:spacing w:after="0"/>
        <w:tabs>
          <w:tab w:leader="none" w:pos="10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8" w:lineRule="exact"/>
        <w:rPr>
          <w:rFonts w:ascii="Arial" w:cs="Arial" w:eastAsia="Arial" w:hAnsi="Arial"/>
          <w:sz w:val="22"/>
          <w:szCs w:val="22"/>
          <w:color w:val="auto"/>
        </w:rPr>
      </w:pPr>
    </w:p>
    <w:p>
      <w:pPr>
        <w:ind w:left="1000" w:right="3520"/>
        <w:spacing w:after="0" w:line="452"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John Barrett</w:t>
      </w:r>
    </w:p>
    <w:tbl>
      <w:tblPr>
        <w:tblLayout w:type="fixed"/>
        <w:tblInd w:w="10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Arial" w:cs="Arial" w:eastAsia="Arial" w:hAnsi="Arial"/>
                <w:sz w:val="22"/>
                <w:szCs w:val="22"/>
                <w:color w:val="auto"/>
                <w:w w:val="76"/>
              </w:rPr>
              <w:t>2.</w:t>
            </w:r>
          </w:p>
        </w:tc>
        <w:tc>
          <w:tcPr>
            <w:tcW w:w="7960" w:type="dxa"/>
            <w:vAlign w:val="bottom"/>
          </w:tcPr>
          <w:p>
            <w:pPr>
              <w:ind w:left="360"/>
              <w:spacing w:after="0" w:line="244" w:lineRule="exact"/>
              <w:rPr>
                <w:sz w:val="20"/>
                <w:szCs w:val="20"/>
                <w:color w:val="auto"/>
              </w:rPr>
            </w:pPr>
            <w:r>
              <w:rPr>
                <w:rFonts w:ascii="Arial" w:cs="Arial" w:eastAsia="Arial" w:hAnsi="Arial"/>
                <w:sz w:val="22"/>
                <w:szCs w:val="22"/>
                <w:color w:val="auto"/>
              </w:rPr>
              <w:t>CHECK THE APPROPRIATE BOX IF A MEMBER OF A GROUP</w:t>
            </w:r>
          </w:p>
        </w:tc>
        <w:tc>
          <w:tcPr>
            <w:tcW w:w="2020" w:type="dxa"/>
            <w:vAlign w:val="bottom"/>
          </w:tcPr>
          <w:p>
            <w:pPr>
              <w:ind w:left="1620"/>
              <w:spacing w:after="0" w:line="244" w:lineRule="exact"/>
              <w:rPr>
                <w:sz w:val="20"/>
                <w:szCs w:val="20"/>
                <w:color w:val="auto"/>
              </w:rPr>
            </w:pPr>
            <w:r>
              <w:rPr>
                <w:rFonts w:ascii="Arial" w:cs="Arial" w:eastAsia="Arial" w:hAnsi="Arial"/>
                <w:sz w:val="22"/>
                <w:szCs w:val="22"/>
                <w:color w:val="auto"/>
              </w:rPr>
              <w:t>(a)</w:t>
            </w:r>
          </w:p>
        </w:tc>
        <w:tc>
          <w:tcPr>
            <w:tcW w:w="420" w:type="dxa"/>
            <w:vAlign w:val="bottom"/>
          </w:tcPr>
          <w:p>
            <w:pPr>
              <w:jc w:val="right"/>
              <w:spacing w:after="0" w:line="244" w:lineRule="exact"/>
              <w:rPr>
                <w:sz w:val="20"/>
                <w:szCs w:val="20"/>
                <w:color w:val="auto"/>
              </w:rPr>
            </w:pPr>
            <w:r>
              <w:rPr>
                <w:rFonts w:ascii="Arial" w:cs="Arial" w:eastAsia="Arial" w:hAnsi="Arial"/>
                <w:sz w:val="22"/>
                <w:szCs w:val="22"/>
                <w:color w:val="auto"/>
              </w:rPr>
              <w:t>[_]</w:t>
            </w:r>
          </w:p>
        </w:tc>
      </w:tr>
      <w:tr>
        <w:trPr>
          <w:trHeight w:val="274"/>
        </w:trPr>
        <w:tc>
          <w:tcPr>
            <w:tcW w:w="54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2020" w:type="dxa"/>
            <w:vAlign w:val="bottom"/>
          </w:tcPr>
          <w:p>
            <w:pPr>
              <w:ind w:left="1620"/>
              <w:spacing w:after="0"/>
              <w:rPr>
                <w:sz w:val="20"/>
                <w:szCs w:val="20"/>
                <w:color w:val="auto"/>
              </w:rPr>
            </w:pPr>
            <w:r>
              <w:rPr>
                <w:rFonts w:ascii="Arial" w:cs="Arial" w:eastAsia="Arial" w:hAnsi="Arial"/>
                <w:sz w:val="22"/>
                <w:szCs w:val="22"/>
                <w:color w:val="auto"/>
              </w:rPr>
              <w:t>(b)</w:t>
            </w:r>
          </w:p>
        </w:tc>
        <w:tc>
          <w:tcPr>
            <w:tcW w:w="420" w:type="dxa"/>
            <w:vAlign w:val="bottom"/>
          </w:tcPr>
          <w:p>
            <w:pPr>
              <w:jc w:val="right"/>
              <w:spacing w:after="0"/>
              <w:rPr>
                <w:sz w:val="20"/>
                <w:szCs w:val="20"/>
                <w:color w:val="auto"/>
              </w:rPr>
            </w:pPr>
            <w:r>
              <w:rPr>
                <w:rFonts w:ascii="Arial" w:cs="Arial" w:eastAsia="Arial" w:hAnsi="Arial"/>
                <w:sz w:val="22"/>
                <w:szCs w:val="22"/>
                <w:color w:val="auto"/>
              </w:rPr>
              <w:t>[_]</w:t>
            </w:r>
          </w:p>
        </w:tc>
      </w:tr>
    </w:tbl>
    <w:p>
      <w:pPr>
        <w:spacing w:after="0" w:line="212" w:lineRule="exact"/>
        <w:rPr>
          <w:sz w:val="20"/>
          <w:szCs w:val="20"/>
          <w:color w:val="auto"/>
        </w:rPr>
      </w:pPr>
    </w:p>
    <w:p>
      <w:pPr>
        <w:ind w:left="1000" w:hanging="895"/>
        <w:spacing w:after="0"/>
        <w:tabs>
          <w:tab w:leader="none" w:pos="10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000" w:right="8280" w:hanging="895"/>
        <w:spacing w:after="0" w:line="461" w:lineRule="auto"/>
        <w:tabs>
          <w:tab w:leader="none" w:pos="10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SOURCE OF FUNDS AF</w:t>
      </w:r>
    </w:p>
    <w:p>
      <w:pPr>
        <w:ind w:left="1000" w:hanging="895"/>
        <w:spacing w:after="0"/>
        <w:tabs>
          <w:tab w:leader="none" w:pos="10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CHECK BOX IF DISCLOSURE OF LEGAL PROCEEDINGS IS REQUIRED PURSUANT TO</w:t>
      </w:r>
    </w:p>
    <w:p>
      <w:pPr>
        <w:spacing w:after="0" w:line="8" w:lineRule="exact"/>
        <w:rPr>
          <w:sz w:val="20"/>
          <w:szCs w:val="20"/>
          <w:color w:val="auto"/>
        </w:rPr>
      </w:pPr>
    </w:p>
    <w:p>
      <w:pPr>
        <w:ind w:left="1000"/>
        <w:spacing w:after="0"/>
        <w:tabs>
          <w:tab w:leader="none" w:pos="10880" w:val="left"/>
        </w:tabs>
        <w:rPr>
          <w:sz w:val="20"/>
          <w:szCs w:val="20"/>
          <w:color w:val="auto"/>
        </w:rPr>
      </w:pPr>
      <w:r>
        <w:rPr>
          <w:rFonts w:ascii="Arial" w:cs="Arial" w:eastAsia="Arial" w:hAnsi="Arial"/>
          <w:sz w:val="22"/>
          <w:szCs w:val="22"/>
          <w:color w:val="auto"/>
        </w:rPr>
        <w:t>ITEMS 2(d) OR 2(e)</w:t>
      </w:r>
      <w:r>
        <w:rPr>
          <w:sz w:val="20"/>
          <w:szCs w:val="20"/>
          <w:color w:val="auto"/>
        </w:rPr>
        <w:tab/>
      </w:r>
      <w:r>
        <w:rPr>
          <w:rFonts w:ascii="Arial" w:cs="Arial" w:eastAsia="Arial" w:hAnsi="Arial"/>
          <w:sz w:val="21"/>
          <w:szCs w:val="21"/>
          <w:color w:val="auto"/>
        </w:rPr>
        <w:t>[_]</w:t>
      </w:r>
    </w:p>
    <w:p>
      <w:pPr>
        <w:spacing w:after="0" w:line="215" w:lineRule="exact"/>
        <w:rPr>
          <w:sz w:val="20"/>
          <w:szCs w:val="20"/>
          <w:color w:val="auto"/>
        </w:rPr>
      </w:pPr>
    </w:p>
    <w:p>
      <w:pPr>
        <w:ind w:left="1000" w:right="5820" w:hanging="895"/>
        <w:spacing w:after="0" w:line="461" w:lineRule="auto"/>
        <w:tabs>
          <w:tab w:leader="none" w:pos="10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CITIZENSHIP OR PLACE OF ORGANIZATION United States of America</w:t>
      </w:r>
    </w:p>
    <w:p>
      <w:pPr>
        <w:ind w:left="100"/>
        <w:spacing w:after="0"/>
        <w:rPr>
          <w:sz w:val="20"/>
          <w:szCs w:val="20"/>
          <w:color w:val="auto"/>
        </w:rPr>
      </w:pPr>
      <w:r>
        <w:rPr>
          <w:rFonts w:ascii="Arial" w:cs="Arial" w:eastAsia="Arial" w:hAnsi="Arial"/>
          <w:sz w:val="22"/>
          <w:szCs w:val="22"/>
          <w:color w:val="auto"/>
        </w:rPr>
        <w:t>NUMBER OF SHARES BENEFICIALLY OWNED BY EACH REPORTING PERSON</w:t>
      </w:r>
    </w:p>
    <w:p>
      <w:pPr>
        <w:spacing w:after="0" w:line="233" w:lineRule="exact"/>
        <w:rPr>
          <w:sz w:val="20"/>
          <w:szCs w:val="20"/>
          <w:color w:val="auto"/>
        </w:rPr>
      </w:pPr>
    </w:p>
    <w:p>
      <w:pPr>
        <w:ind w:left="1000" w:right="8000" w:hanging="895"/>
        <w:spacing w:after="0" w:line="461" w:lineRule="auto"/>
        <w:tabs>
          <w:tab w:leader="none" w:pos="10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SOLE VOTING POWER 0</w:t>
      </w:r>
    </w:p>
    <w:p>
      <w:pPr>
        <w:ind w:left="1000" w:right="7680" w:hanging="895"/>
        <w:spacing w:after="0" w:line="481" w:lineRule="auto"/>
        <w:tabs>
          <w:tab w:leader="none" w:pos="10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SHARED VOTING POWER 4,362,481*</w:t>
      </w:r>
    </w:p>
    <w:p>
      <w:pPr>
        <w:spacing w:after="0" w:line="201" w:lineRule="exact"/>
        <w:rPr>
          <w:rFonts w:ascii="Arial" w:cs="Arial" w:eastAsia="Arial" w:hAnsi="Arial"/>
          <w:sz w:val="22"/>
          <w:szCs w:val="22"/>
          <w:color w:val="auto"/>
        </w:rPr>
      </w:pPr>
    </w:p>
    <w:p>
      <w:pPr>
        <w:ind w:left="1000" w:right="7520" w:hanging="895"/>
        <w:spacing w:after="0" w:line="461" w:lineRule="auto"/>
        <w:tabs>
          <w:tab w:leader="none" w:pos="10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SOLE DISPOSITIVE POWER 0</w:t>
      </w:r>
    </w:p>
    <w:p>
      <w:pPr>
        <w:ind w:left="1000" w:right="7200" w:hanging="895"/>
        <w:spacing w:after="0" w:line="481" w:lineRule="auto"/>
        <w:tabs>
          <w:tab w:leader="none" w:pos="10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SHARED DISPOSITIVE POWER 4,362,481*</w:t>
      </w:r>
    </w:p>
    <w:p>
      <w:pPr>
        <w:spacing w:after="0" w:line="201" w:lineRule="exact"/>
        <w:rPr>
          <w:rFonts w:ascii="Arial" w:cs="Arial" w:eastAsia="Arial" w:hAnsi="Arial"/>
          <w:sz w:val="22"/>
          <w:szCs w:val="22"/>
          <w:color w:val="auto"/>
        </w:rPr>
      </w:pPr>
    </w:p>
    <w:p>
      <w:pPr>
        <w:ind w:left="1000" w:right="2360" w:hanging="895"/>
        <w:spacing w:after="0" w:line="481" w:lineRule="auto"/>
        <w:tabs>
          <w:tab w:leader="none" w:pos="10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4,362,481*</w:t>
      </w:r>
    </w:p>
    <w:p>
      <w:pPr>
        <w:spacing w:after="0" w:line="201" w:lineRule="exact"/>
        <w:rPr>
          <w:rFonts w:ascii="Arial" w:cs="Arial" w:eastAsia="Arial" w:hAnsi="Arial"/>
          <w:sz w:val="22"/>
          <w:szCs w:val="22"/>
          <w:color w:val="auto"/>
        </w:rPr>
      </w:pPr>
    </w:p>
    <w:p>
      <w:pPr>
        <w:ind w:left="1000" w:hanging="895"/>
        <w:spacing w:after="0"/>
        <w:tabs>
          <w:tab w:leader="none" w:pos="10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CHECK BOX IF THE AGGREGATE AMOUNT IN ROW (11) EXCLUDES CERTAIN SHARES</w:t>
      </w:r>
    </w:p>
    <w:p>
      <w:pPr>
        <w:spacing w:after="0" w:line="8" w:lineRule="exact"/>
        <w:rPr>
          <w:sz w:val="20"/>
          <w:szCs w:val="20"/>
          <w:color w:val="auto"/>
        </w:rPr>
      </w:pPr>
    </w:p>
    <w:p>
      <w:pPr>
        <w:ind w:left="10900"/>
        <w:spacing w:after="0"/>
        <w:rPr>
          <w:sz w:val="20"/>
          <w:szCs w:val="20"/>
          <w:color w:val="auto"/>
        </w:rPr>
      </w:pPr>
      <w:r>
        <w:rPr>
          <w:rFonts w:ascii="Arial" w:cs="Arial" w:eastAsia="Arial" w:hAnsi="Arial"/>
          <w:sz w:val="22"/>
          <w:szCs w:val="22"/>
          <w:color w:val="auto"/>
        </w:rPr>
        <w:t>[_]</w:t>
      </w:r>
    </w:p>
    <w:p>
      <w:pPr>
        <w:spacing w:after="0" w:line="215" w:lineRule="exact"/>
        <w:rPr>
          <w:sz w:val="20"/>
          <w:szCs w:val="20"/>
          <w:color w:val="auto"/>
        </w:rPr>
      </w:pPr>
    </w:p>
    <w:p>
      <w:pPr>
        <w:ind w:left="1000" w:hanging="895"/>
        <w:spacing w:after="0"/>
        <w:tabs>
          <w:tab w:leader="none" w:pos="10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PERCENT OF CLASS REPRESENTED BY AMOUNT IN ROW (11)</w:t>
      </w:r>
    </w:p>
    <w:p>
      <w:pPr>
        <w:spacing w:after="0" w:line="233"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color w:val="auto"/>
        </w:rPr>
        <w:t>9.99%*</w:t>
      </w:r>
    </w:p>
    <w:p>
      <w:pPr>
        <w:spacing w:after="0" w:line="233" w:lineRule="exact"/>
        <w:rPr>
          <w:rFonts w:ascii="Arial" w:cs="Arial" w:eastAsia="Arial" w:hAnsi="Arial"/>
          <w:sz w:val="22"/>
          <w:szCs w:val="22"/>
          <w:color w:val="auto"/>
        </w:rPr>
      </w:pPr>
    </w:p>
    <w:p>
      <w:pPr>
        <w:ind w:left="1000" w:right="7220" w:hanging="895"/>
        <w:spacing w:after="0" w:line="481" w:lineRule="auto"/>
        <w:tabs>
          <w:tab w:leader="none" w:pos="10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TYPE OF REPORTING PERSON IN, HC</w:t>
      </w:r>
    </w:p>
    <w:p>
      <w:pPr>
        <w:spacing w:after="0" w:line="214" w:lineRule="exact"/>
        <w:rPr>
          <w:rFonts w:ascii="Arial" w:cs="Arial" w:eastAsia="Arial" w:hAnsi="Arial"/>
          <w:sz w:val="22"/>
          <w:szCs w:val="22"/>
          <w:color w:val="auto"/>
        </w:rPr>
      </w:pPr>
    </w:p>
    <w:p>
      <w:pPr>
        <w:jc w:val="both"/>
        <w:spacing w:after="0" w:line="328" w:lineRule="auto"/>
        <w:rPr>
          <w:rFonts w:ascii="Arial" w:cs="Arial" w:eastAsia="Arial" w:hAnsi="Arial"/>
          <w:sz w:val="22"/>
          <w:szCs w:val="22"/>
          <w:color w:val="auto"/>
        </w:rPr>
      </w:pPr>
      <w:r>
        <w:rPr>
          <w:rFonts w:ascii="Arial" w:cs="Arial" w:eastAsia="Arial" w:hAnsi="Arial"/>
          <w:sz w:val="19"/>
          <w:szCs w:val="19"/>
          <w:color w:val="auto"/>
        </w:rPr>
        <w:t>* The number of Shares and the percent of class ownership reported herein includes 3,755,481 Shares and 607,000 Shares issuable upon exercise of certain warrants of the Issuer held by the Reporting Persons. As further described in Section 6,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-527685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46" w:orient="portrait"/>
          <w:cols w:equalWidth="0" w:num="1">
            <w:col w:w="11240"/>
          </w:cols>
          <w:pgMar w:left="320" w:top="955" w:right="339" w:bottom="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9"/>
          <w:szCs w:val="19"/>
          <w:color w:val="auto"/>
        </w:rPr>
        <w:t>warrants held by the Reporting Persons are subject to limitations on the right to exercise to the extent that after giving effect to such issuance after exercise, the Reporting Persons (together with the Reporting Persons’ affiliates, any other accounts managed by or over which Corre Partners Management, LLC or one of its affiliates has discretionary investment authority, or any other person or entity whose beneficial ownership of Shares would be aggregated with such persons’ beneficial ownership for purposes of Section 13(d) or Section 16 of the Securities Exchange Act of 1934), would, when aggregated with all other Shares beneficially owned by such Reporting Persons at such time, beneficially own Shares in excess of 9.99% of the number of Shares outstanding (measured after giving effect to the issuance of Shares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264"/>
        </w:trPr>
        <w:tc>
          <w:tcPr>
            <w:tcW w:w="1600" w:type="dxa"/>
            <w:vAlign w:val="bottom"/>
          </w:tcPr>
          <w:p>
            <w:pPr>
              <w:spacing w:after="0"/>
              <w:rPr>
                <w:sz w:val="20"/>
                <w:szCs w:val="20"/>
                <w:color w:val="auto"/>
              </w:rPr>
            </w:pPr>
            <w:r>
              <w:rPr>
                <w:rFonts w:ascii="Arial" w:cs="Arial" w:eastAsia="Arial" w:hAnsi="Arial"/>
                <w:sz w:val="22"/>
                <w:szCs w:val="22"/>
                <w:color w:val="auto"/>
              </w:rPr>
              <w:t>CUSIP No.</w:t>
            </w:r>
          </w:p>
        </w:tc>
        <w:tc>
          <w:tcPr>
            <w:tcW w:w="4280" w:type="dxa"/>
            <w:vAlign w:val="bottom"/>
            <w:tcBorders>
              <w:bottom w:val="single" w:sz="8" w:color="auto"/>
            </w:tcBorders>
          </w:tcPr>
          <w:p>
            <w:pPr>
              <w:jc w:val="right"/>
              <w:ind w:right="3112"/>
              <w:spacing w:after="0"/>
              <w:rPr>
                <w:sz w:val="20"/>
                <w:szCs w:val="20"/>
                <w:color w:val="auto"/>
              </w:rPr>
            </w:pPr>
            <w:r>
              <w:rPr>
                <w:rFonts w:ascii="Arial" w:cs="Arial" w:eastAsia="Arial" w:hAnsi="Arial"/>
                <w:sz w:val="22"/>
                <w:szCs w:val="22"/>
                <w:color w:val="auto"/>
                <w:w w:val="94"/>
              </w:rPr>
              <w:t>629337106</w:t>
            </w:r>
          </w:p>
        </w:tc>
      </w:tr>
    </w:tbl>
    <w:p>
      <w:pPr>
        <w:spacing w:after="0" w:line="222" w:lineRule="exact"/>
        <w:rPr>
          <w:sz w:val="20"/>
          <w:szCs w:val="20"/>
          <w:color w:val="auto"/>
        </w:rPr>
      </w:pPr>
    </w:p>
    <w:p>
      <w:pPr>
        <w:ind w:left="1000" w:hanging="895"/>
        <w:spacing w:after="0"/>
        <w:tabs>
          <w:tab w:leader="none" w:pos="10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8" w:lineRule="exact"/>
        <w:rPr>
          <w:rFonts w:ascii="Arial" w:cs="Arial" w:eastAsia="Arial" w:hAnsi="Arial"/>
          <w:sz w:val="22"/>
          <w:szCs w:val="22"/>
          <w:color w:val="auto"/>
        </w:rPr>
      </w:pPr>
    </w:p>
    <w:p>
      <w:pPr>
        <w:ind w:left="1000" w:right="3520"/>
        <w:spacing w:after="0" w:line="452"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Eric Soderlund</w:t>
      </w:r>
    </w:p>
    <w:tbl>
      <w:tblPr>
        <w:tblLayout w:type="fixed"/>
        <w:tblInd w:w="10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Arial" w:cs="Arial" w:eastAsia="Arial" w:hAnsi="Arial"/>
                <w:sz w:val="22"/>
                <w:szCs w:val="22"/>
                <w:color w:val="auto"/>
                <w:w w:val="76"/>
              </w:rPr>
              <w:t>2.</w:t>
            </w:r>
          </w:p>
        </w:tc>
        <w:tc>
          <w:tcPr>
            <w:tcW w:w="7960" w:type="dxa"/>
            <w:vAlign w:val="bottom"/>
          </w:tcPr>
          <w:p>
            <w:pPr>
              <w:ind w:left="360"/>
              <w:spacing w:after="0" w:line="244" w:lineRule="exact"/>
              <w:rPr>
                <w:sz w:val="20"/>
                <w:szCs w:val="20"/>
                <w:color w:val="auto"/>
              </w:rPr>
            </w:pPr>
            <w:r>
              <w:rPr>
                <w:rFonts w:ascii="Arial" w:cs="Arial" w:eastAsia="Arial" w:hAnsi="Arial"/>
                <w:sz w:val="22"/>
                <w:szCs w:val="22"/>
                <w:color w:val="auto"/>
              </w:rPr>
              <w:t>CHECK THE APPROPRIATE BOX IF A MEMBER OF A GROUP</w:t>
            </w:r>
          </w:p>
        </w:tc>
        <w:tc>
          <w:tcPr>
            <w:tcW w:w="2020" w:type="dxa"/>
            <w:vAlign w:val="bottom"/>
          </w:tcPr>
          <w:p>
            <w:pPr>
              <w:ind w:left="1620"/>
              <w:spacing w:after="0" w:line="244" w:lineRule="exact"/>
              <w:rPr>
                <w:sz w:val="20"/>
                <w:szCs w:val="20"/>
                <w:color w:val="auto"/>
              </w:rPr>
            </w:pPr>
            <w:r>
              <w:rPr>
                <w:rFonts w:ascii="Arial" w:cs="Arial" w:eastAsia="Arial" w:hAnsi="Arial"/>
                <w:sz w:val="22"/>
                <w:szCs w:val="22"/>
                <w:color w:val="auto"/>
              </w:rPr>
              <w:t>(a)</w:t>
            </w:r>
          </w:p>
        </w:tc>
        <w:tc>
          <w:tcPr>
            <w:tcW w:w="420" w:type="dxa"/>
            <w:vAlign w:val="bottom"/>
          </w:tcPr>
          <w:p>
            <w:pPr>
              <w:jc w:val="right"/>
              <w:spacing w:after="0" w:line="244" w:lineRule="exact"/>
              <w:rPr>
                <w:sz w:val="20"/>
                <w:szCs w:val="20"/>
                <w:color w:val="auto"/>
              </w:rPr>
            </w:pPr>
            <w:r>
              <w:rPr>
                <w:rFonts w:ascii="Arial" w:cs="Arial" w:eastAsia="Arial" w:hAnsi="Arial"/>
                <w:sz w:val="22"/>
                <w:szCs w:val="22"/>
                <w:color w:val="auto"/>
              </w:rPr>
              <w:t>[_]</w:t>
            </w:r>
          </w:p>
        </w:tc>
      </w:tr>
      <w:tr>
        <w:trPr>
          <w:trHeight w:val="274"/>
        </w:trPr>
        <w:tc>
          <w:tcPr>
            <w:tcW w:w="54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2020" w:type="dxa"/>
            <w:vAlign w:val="bottom"/>
          </w:tcPr>
          <w:p>
            <w:pPr>
              <w:ind w:left="1620"/>
              <w:spacing w:after="0"/>
              <w:rPr>
                <w:sz w:val="20"/>
                <w:szCs w:val="20"/>
                <w:color w:val="auto"/>
              </w:rPr>
            </w:pPr>
            <w:r>
              <w:rPr>
                <w:rFonts w:ascii="Arial" w:cs="Arial" w:eastAsia="Arial" w:hAnsi="Arial"/>
                <w:sz w:val="22"/>
                <w:szCs w:val="22"/>
                <w:color w:val="auto"/>
              </w:rPr>
              <w:t>(b)</w:t>
            </w:r>
          </w:p>
        </w:tc>
        <w:tc>
          <w:tcPr>
            <w:tcW w:w="420" w:type="dxa"/>
            <w:vAlign w:val="bottom"/>
          </w:tcPr>
          <w:p>
            <w:pPr>
              <w:jc w:val="right"/>
              <w:spacing w:after="0"/>
              <w:rPr>
                <w:sz w:val="20"/>
                <w:szCs w:val="20"/>
                <w:color w:val="auto"/>
              </w:rPr>
            </w:pPr>
            <w:r>
              <w:rPr>
                <w:rFonts w:ascii="Arial" w:cs="Arial" w:eastAsia="Arial" w:hAnsi="Arial"/>
                <w:sz w:val="22"/>
                <w:szCs w:val="22"/>
                <w:color w:val="auto"/>
              </w:rPr>
              <w:t>[_]</w:t>
            </w:r>
          </w:p>
        </w:tc>
      </w:tr>
    </w:tbl>
    <w:p>
      <w:pPr>
        <w:spacing w:after="0" w:line="212" w:lineRule="exact"/>
        <w:rPr>
          <w:sz w:val="20"/>
          <w:szCs w:val="20"/>
          <w:color w:val="auto"/>
        </w:rPr>
      </w:pPr>
    </w:p>
    <w:p>
      <w:pPr>
        <w:ind w:left="1000" w:hanging="895"/>
        <w:spacing w:after="0"/>
        <w:tabs>
          <w:tab w:leader="none" w:pos="10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1000" w:right="8280" w:hanging="895"/>
        <w:spacing w:after="0" w:line="461" w:lineRule="auto"/>
        <w:tabs>
          <w:tab w:leader="none" w:pos="10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SOURCE OF FUNDS AF</w:t>
      </w:r>
    </w:p>
    <w:p>
      <w:pPr>
        <w:ind w:left="1000" w:hanging="895"/>
        <w:spacing w:after="0"/>
        <w:tabs>
          <w:tab w:leader="none" w:pos="10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CHECK BOX IF DISCLOSURE OF LEGAL PROCEEDINGS IS REQUIRED PURSUANT TO</w:t>
      </w:r>
    </w:p>
    <w:p>
      <w:pPr>
        <w:spacing w:after="0" w:line="8" w:lineRule="exact"/>
        <w:rPr>
          <w:sz w:val="20"/>
          <w:szCs w:val="20"/>
          <w:color w:val="auto"/>
        </w:rPr>
      </w:pPr>
    </w:p>
    <w:p>
      <w:pPr>
        <w:ind w:left="1000"/>
        <w:spacing w:after="0"/>
        <w:tabs>
          <w:tab w:leader="none" w:pos="10880" w:val="left"/>
        </w:tabs>
        <w:rPr>
          <w:sz w:val="20"/>
          <w:szCs w:val="20"/>
          <w:color w:val="auto"/>
        </w:rPr>
      </w:pPr>
      <w:r>
        <w:rPr>
          <w:rFonts w:ascii="Arial" w:cs="Arial" w:eastAsia="Arial" w:hAnsi="Arial"/>
          <w:sz w:val="22"/>
          <w:szCs w:val="22"/>
          <w:color w:val="auto"/>
        </w:rPr>
        <w:t>ITEMS 2(d) OR 2(e)</w:t>
      </w:r>
      <w:r>
        <w:rPr>
          <w:sz w:val="20"/>
          <w:szCs w:val="20"/>
          <w:color w:val="auto"/>
        </w:rPr>
        <w:tab/>
      </w:r>
      <w:r>
        <w:rPr>
          <w:rFonts w:ascii="Arial" w:cs="Arial" w:eastAsia="Arial" w:hAnsi="Arial"/>
          <w:sz w:val="21"/>
          <w:szCs w:val="21"/>
          <w:color w:val="auto"/>
        </w:rPr>
        <w:t>[_]</w:t>
      </w:r>
    </w:p>
    <w:p>
      <w:pPr>
        <w:spacing w:after="0" w:line="215" w:lineRule="exact"/>
        <w:rPr>
          <w:sz w:val="20"/>
          <w:szCs w:val="20"/>
          <w:color w:val="auto"/>
        </w:rPr>
      </w:pPr>
    </w:p>
    <w:p>
      <w:pPr>
        <w:ind w:left="1000" w:right="5820" w:hanging="895"/>
        <w:spacing w:after="0" w:line="461" w:lineRule="auto"/>
        <w:tabs>
          <w:tab w:leader="none" w:pos="10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CITIZENSHIP OR PLACE OF ORGANIZATION United States of America</w:t>
      </w:r>
    </w:p>
    <w:p>
      <w:pPr>
        <w:ind w:left="100"/>
        <w:spacing w:after="0"/>
        <w:rPr>
          <w:sz w:val="20"/>
          <w:szCs w:val="20"/>
          <w:color w:val="auto"/>
        </w:rPr>
      </w:pPr>
      <w:r>
        <w:rPr>
          <w:rFonts w:ascii="Arial" w:cs="Arial" w:eastAsia="Arial" w:hAnsi="Arial"/>
          <w:sz w:val="22"/>
          <w:szCs w:val="22"/>
          <w:color w:val="auto"/>
        </w:rPr>
        <w:t>NUMBER OF SHARES BENEFICIALLY OWNED BY EACH REPORTING PERSON</w:t>
      </w:r>
    </w:p>
    <w:p>
      <w:pPr>
        <w:spacing w:after="0" w:line="233" w:lineRule="exact"/>
        <w:rPr>
          <w:sz w:val="20"/>
          <w:szCs w:val="20"/>
          <w:color w:val="auto"/>
        </w:rPr>
      </w:pPr>
    </w:p>
    <w:p>
      <w:pPr>
        <w:ind w:left="1000" w:right="8000" w:hanging="895"/>
        <w:spacing w:after="0" w:line="461" w:lineRule="auto"/>
        <w:tabs>
          <w:tab w:leader="none" w:pos="10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SOLE VOTING POWER 0</w:t>
      </w:r>
    </w:p>
    <w:p>
      <w:pPr>
        <w:ind w:left="1000" w:right="7680" w:hanging="895"/>
        <w:spacing w:after="0" w:line="481" w:lineRule="auto"/>
        <w:tabs>
          <w:tab w:leader="none" w:pos="10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SHARED VOTING POWER 4,362,481*</w:t>
      </w:r>
    </w:p>
    <w:p>
      <w:pPr>
        <w:spacing w:after="0" w:line="201" w:lineRule="exact"/>
        <w:rPr>
          <w:rFonts w:ascii="Arial" w:cs="Arial" w:eastAsia="Arial" w:hAnsi="Arial"/>
          <w:sz w:val="22"/>
          <w:szCs w:val="22"/>
          <w:color w:val="auto"/>
        </w:rPr>
      </w:pPr>
    </w:p>
    <w:p>
      <w:pPr>
        <w:ind w:left="1000" w:right="7520" w:hanging="895"/>
        <w:spacing w:after="0" w:line="461" w:lineRule="auto"/>
        <w:tabs>
          <w:tab w:leader="none" w:pos="10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SOLE DISPOSITIVE POWER 0</w:t>
      </w:r>
    </w:p>
    <w:p>
      <w:pPr>
        <w:ind w:left="1000" w:right="7200" w:hanging="895"/>
        <w:spacing w:after="0" w:line="481" w:lineRule="auto"/>
        <w:tabs>
          <w:tab w:leader="none" w:pos="10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SHARED DISPOSITIVE POWER 4,362,481*</w:t>
      </w:r>
    </w:p>
    <w:p>
      <w:pPr>
        <w:spacing w:after="0" w:line="201" w:lineRule="exact"/>
        <w:rPr>
          <w:rFonts w:ascii="Arial" w:cs="Arial" w:eastAsia="Arial" w:hAnsi="Arial"/>
          <w:sz w:val="22"/>
          <w:szCs w:val="22"/>
          <w:color w:val="auto"/>
        </w:rPr>
      </w:pPr>
    </w:p>
    <w:p>
      <w:pPr>
        <w:ind w:left="1000" w:right="2360" w:hanging="895"/>
        <w:spacing w:after="0" w:line="481" w:lineRule="auto"/>
        <w:tabs>
          <w:tab w:leader="none" w:pos="10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4,362,481*</w:t>
      </w:r>
    </w:p>
    <w:p>
      <w:pPr>
        <w:spacing w:after="0" w:line="201" w:lineRule="exact"/>
        <w:rPr>
          <w:rFonts w:ascii="Arial" w:cs="Arial" w:eastAsia="Arial" w:hAnsi="Arial"/>
          <w:sz w:val="22"/>
          <w:szCs w:val="22"/>
          <w:color w:val="auto"/>
        </w:rPr>
      </w:pPr>
    </w:p>
    <w:p>
      <w:pPr>
        <w:ind w:left="1000" w:hanging="895"/>
        <w:spacing w:after="0"/>
        <w:tabs>
          <w:tab w:leader="none" w:pos="10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CHECK BOX IF THE AGGREGATE AMOUNT IN ROW (11) EXCLUDES CERTAIN SHARES</w:t>
      </w:r>
    </w:p>
    <w:p>
      <w:pPr>
        <w:spacing w:after="0" w:line="8" w:lineRule="exact"/>
        <w:rPr>
          <w:sz w:val="20"/>
          <w:szCs w:val="20"/>
          <w:color w:val="auto"/>
        </w:rPr>
      </w:pPr>
    </w:p>
    <w:p>
      <w:pPr>
        <w:ind w:left="10900"/>
        <w:spacing w:after="0"/>
        <w:rPr>
          <w:sz w:val="20"/>
          <w:szCs w:val="20"/>
          <w:color w:val="auto"/>
        </w:rPr>
      </w:pPr>
      <w:r>
        <w:rPr>
          <w:rFonts w:ascii="Arial" w:cs="Arial" w:eastAsia="Arial" w:hAnsi="Arial"/>
          <w:sz w:val="22"/>
          <w:szCs w:val="22"/>
          <w:color w:val="auto"/>
        </w:rPr>
        <w:t>[_]</w:t>
      </w:r>
    </w:p>
    <w:p>
      <w:pPr>
        <w:spacing w:after="0" w:line="215" w:lineRule="exact"/>
        <w:rPr>
          <w:sz w:val="20"/>
          <w:szCs w:val="20"/>
          <w:color w:val="auto"/>
        </w:rPr>
      </w:pPr>
    </w:p>
    <w:p>
      <w:pPr>
        <w:ind w:left="1000" w:hanging="895"/>
        <w:spacing w:after="0"/>
        <w:tabs>
          <w:tab w:leader="none" w:pos="10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PERCENT OF CLASS REPRESENTED BY AMOUNT IN ROW (11)</w:t>
      </w:r>
    </w:p>
    <w:p>
      <w:pPr>
        <w:spacing w:after="0" w:line="233" w:lineRule="exact"/>
        <w:rPr>
          <w:rFonts w:ascii="Arial" w:cs="Arial" w:eastAsia="Arial" w:hAnsi="Arial"/>
          <w:sz w:val="22"/>
          <w:szCs w:val="22"/>
          <w:color w:val="auto"/>
        </w:rPr>
      </w:pPr>
    </w:p>
    <w:p>
      <w:pPr>
        <w:ind w:left="1000"/>
        <w:spacing w:after="0"/>
        <w:rPr>
          <w:rFonts w:ascii="Arial" w:cs="Arial" w:eastAsia="Arial" w:hAnsi="Arial"/>
          <w:sz w:val="22"/>
          <w:szCs w:val="22"/>
          <w:color w:val="auto"/>
        </w:rPr>
      </w:pPr>
      <w:r>
        <w:rPr>
          <w:rFonts w:ascii="Arial" w:cs="Arial" w:eastAsia="Arial" w:hAnsi="Arial"/>
          <w:sz w:val="22"/>
          <w:szCs w:val="22"/>
          <w:color w:val="auto"/>
        </w:rPr>
        <w:t>9.99%*</w:t>
      </w:r>
    </w:p>
    <w:p>
      <w:pPr>
        <w:spacing w:after="0" w:line="233" w:lineRule="exact"/>
        <w:rPr>
          <w:rFonts w:ascii="Arial" w:cs="Arial" w:eastAsia="Arial" w:hAnsi="Arial"/>
          <w:sz w:val="22"/>
          <w:szCs w:val="22"/>
          <w:color w:val="auto"/>
        </w:rPr>
      </w:pPr>
    </w:p>
    <w:p>
      <w:pPr>
        <w:ind w:left="1000" w:right="7220" w:hanging="895"/>
        <w:spacing w:after="0" w:line="481" w:lineRule="auto"/>
        <w:tabs>
          <w:tab w:leader="none" w:pos="10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TYPE OF REPORTING PERSON IN, HC</w:t>
      </w:r>
    </w:p>
    <w:p>
      <w:pPr>
        <w:spacing w:after="0" w:line="214" w:lineRule="exact"/>
        <w:rPr>
          <w:rFonts w:ascii="Arial" w:cs="Arial" w:eastAsia="Arial" w:hAnsi="Arial"/>
          <w:sz w:val="22"/>
          <w:szCs w:val="22"/>
          <w:color w:val="auto"/>
        </w:rPr>
      </w:pPr>
    </w:p>
    <w:p>
      <w:pPr>
        <w:jc w:val="both"/>
        <w:spacing w:after="0" w:line="328" w:lineRule="auto"/>
        <w:rPr>
          <w:rFonts w:ascii="Arial" w:cs="Arial" w:eastAsia="Arial" w:hAnsi="Arial"/>
          <w:sz w:val="22"/>
          <w:szCs w:val="22"/>
          <w:color w:val="auto"/>
        </w:rPr>
      </w:pPr>
      <w:r>
        <w:rPr>
          <w:rFonts w:ascii="Arial" w:cs="Arial" w:eastAsia="Arial" w:hAnsi="Arial"/>
          <w:sz w:val="19"/>
          <w:szCs w:val="19"/>
          <w:color w:val="auto"/>
        </w:rPr>
        <w:t>* The number of Shares and the percent of class ownership reported herein includes 3,755,481 Shares and 607,000 Shares issuable upon exercise of certain warrants of the Issuer held by the Reporting Persons. As further described in Section 6,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-527685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46" w:orient="portrait"/>
          <w:cols w:equalWidth="0" w:num="1">
            <w:col w:w="11240"/>
          </w:cols>
          <w:pgMar w:left="320" w:top="955" w:right="339" w:bottom="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9"/>
          <w:szCs w:val="19"/>
          <w:color w:val="auto"/>
        </w:rPr>
        <w:t>warrants held by the Reporting Persons are subject to limitations on the right to exercise to the extent that after giving effect to such issuance after exercise, the Reporting Persons (together with the Reporting Persons’ affiliates, any other accounts managed by or over which Corre Partners Management, LLC or one of its affiliates has discretionary investment authority, or any other person or entity whose beneficial ownership of Shares would be aggregated with such persons’ beneficial ownership for purposes of Section 13(d) or Section 16 of the Securities Exchange Act of 1934), would, when aggregated with all other Shares beneficially owned by such Reporting Persons at such time, beneficially own Shares in excess of 9.99% of the number of Shares outstanding (measured after giving effect to the issuance of Shares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64"/>
        </w:trPr>
        <w:tc>
          <w:tcPr>
            <w:tcW w:w="1600" w:type="dxa"/>
            <w:vAlign w:val="bottom"/>
          </w:tcPr>
          <w:p>
            <w:pPr>
              <w:spacing w:after="0"/>
              <w:rPr>
                <w:sz w:val="20"/>
                <w:szCs w:val="20"/>
                <w:color w:val="auto"/>
              </w:rPr>
            </w:pPr>
            <w:r>
              <w:rPr>
                <w:rFonts w:ascii="Arial" w:cs="Arial" w:eastAsia="Arial" w:hAnsi="Arial"/>
                <w:sz w:val="22"/>
                <w:szCs w:val="22"/>
                <w:color w:val="auto"/>
              </w:rPr>
              <w:t>CUSIP No.</w:t>
            </w:r>
          </w:p>
        </w:tc>
        <w:tc>
          <w:tcPr>
            <w:tcW w:w="8420" w:type="dxa"/>
            <w:vAlign w:val="bottom"/>
            <w:tcBorders>
              <w:bottom w:val="single" w:sz="8" w:color="auto"/>
            </w:tcBorders>
          </w:tcPr>
          <w:p>
            <w:pPr>
              <w:jc w:val="right"/>
              <w:ind w:right="7252"/>
              <w:spacing w:after="0"/>
              <w:rPr>
                <w:sz w:val="20"/>
                <w:szCs w:val="20"/>
                <w:color w:val="auto"/>
              </w:rPr>
            </w:pPr>
            <w:r>
              <w:rPr>
                <w:rFonts w:ascii="Arial" w:cs="Arial" w:eastAsia="Arial" w:hAnsi="Arial"/>
                <w:sz w:val="22"/>
                <w:szCs w:val="22"/>
                <w:color w:val="auto"/>
                <w:w w:val="94"/>
              </w:rPr>
              <w:t>629337106</w:t>
            </w:r>
          </w:p>
        </w:tc>
      </w:tr>
    </w:tbl>
    <w:p>
      <w:pPr>
        <w:spacing w:after="0" w:line="200" w:lineRule="exact"/>
        <w:rPr>
          <w:sz w:val="20"/>
          <w:szCs w:val="20"/>
          <w:color w:val="auto"/>
        </w:rPr>
      </w:pPr>
    </w:p>
    <w:p>
      <w:pPr>
        <w:spacing w:after="0" w:line="265"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Security and Issuer.</w:t>
      </w:r>
    </w:p>
    <w:p>
      <w:pPr>
        <w:spacing w:after="0" w:line="233" w:lineRule="exact"/>
        <w:rPr>
          <w:sz w:val="20"/>
          <w:szCs w:val="20"/>
          <w:color w:val="auto"/>
        </w:rPr>
      </w:pPr>
    </w:p>
    <w:p>
      <w:pPr>
        <w:jc w:val="both"/>
        <w:ind w:left="1020"/>
        <w:spacing w:after="0" w:line="257" w:lineRule="auto"/>
        <w:rPr>
          <w:sz w:val="20"/>
          <w:szCs w:val="20"/>
          <w:color w:val="auto"/>
        </w:rPr>
      </w:pPr>
      <w:r>
        <w:rPr>
          <w:rFonts w:ascii="Arial" w:cs="Arial" w:eastAsia="Arial" w:hAnsi="Arial"/>
          <w:sz w:val="21"/>
          <w:szCs w:val="21"/>
          <w:color w:val="auto"/>
        </w:rPr>
        <w:t>The name of the issuer is NN, Inc., a Delaware corporation (the "Issuer"). The address of the Issuer's principal executive offices is 6210 Ardrey Kell Road, Suite 600, Charlotte, North Carolina 28277. This Schedule 13D relates to the Issuer's common stock, par value $0.01 per share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-15240</wp:posOffset>
            </wp:positionV>
            <wp:extent cx="6489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Identity and Background.</w:t>
      </w:r>
    </w:p>
    <w:p>
      <w:pPr>
        <w:spacing w:after="0" w:line="233" w:lineRule="exact"/>
        <w:rPr>
          <w:sz w:val="20"/>
          <w:szCs w:val="20"/>
          <w:color w:val="auto"/>
        </w:rPr>
      </w:pPr>
    </w:p>
    <w:p>
      <w:pPr>
        <w:jc w:val="both"/>
        <w:ind w:left="1820" w:hanging="795"/>
        <w:spacing w:after="0" w:line="274" w:lineRule="auto"/>
        <w:tabs>
          <w:tab w:leader="none" w:pos="1800" w:val="left"/>
        </w:tabs>
        <w:rPr>
          <w:sz w:val="20"/>
          <w:szCs w:val="20"/>
          <w:color w:val="auto"/>
        </w:rPr>
      </w:pPr>
      <w:r>
        <w:rPr>
          <w:rFonts w:ascii="Arial" w:cs="Arial" w:eastAsia="Arial" w:hAnsi="Arial"/>
          <w:sz w:val="22"/>
          <w:szCs w:val="22"/>
          <w:color w:val="auto"/>
        </w:rPr>
        <w:t>(a), (f)</w:t>
      </w:r>
      <w:r>
        <w:rPr>
          <w:sz w:val="20"/>
          <w:szCs w:val="20"/>
          <w:color w:val="auto"/>
        </w:rPr>
        <w:tab/>
      </w:r>
      <w:r>
        <w:rPr>
          <w:rFonts w:ascii="Arial" w:cs="Arial" w:eastAsia="Arial" w:hAnsi="Arial"/>
          <w:sz w:val="19"/>
          <w:szCs w:val="19"/>
          <w:color w:val="auto"/>
        </w:rPr>
        <w:t>This Schedule 13D is being filed jointly by (i) Corre Opportunities Qualified Master Fund, LP, a Cayman Islands exempted limited partnership (the “Fund”); (ii) Corre Partners Advisors, LLC, a Delaware limited liability company (the “General Partner”), which serves as the general partner of the Fund; (iii) Corre Partners Management, LLC, a Delaware limited liability company (the “Investment Adviser”), which has been delegated investment authority over the assets of the Fund by the General Partner; (iv) Mr. John Barrett, who serves as a managing member of the General Partner and the Investment Adviser; and (v) Mr. Eric Soderlund, who serves as a managing member of the General Partner and the Investment Adviser (each, a “Reporting Person” and collectively, the “Reporting Persons”). Mr. Barrett and Mr. Soderlund are citizens of the United States.</w:t>
      </w:r>
    </w:p>
    <w:p>
      <w:pPr>
        <w:spacing w:after="0" w:line="185" w:lineRule="exact"/>
        <w:rPr>
          <w:sz w:val="20"/>
          <w:szCs w:val="20"/>
          <w:color w:val="auto"/>
        </w:rPr>
      </w:pPr>
    </w:p>
    <w:p>
      <w:pPr>
        <w:jc w:val="both"/>
        <w:ind w:left="1820" w:hanging="795"/>
        <w:spacing w:after="0" w:line="279" w:lineRule="auto"/>
        <w:tabs>
          <w:tab w:leader="none" w:pos="1800" w:val="left"/>
        </w:tabs>
        <w:rPr>
          <w:sz w:val="20"/>
          <w:szCs w:val="20"/>
          <w:color w:val="auto"/>
        </w:rPr>
      </w:pPr>
      <w:r>
        <w:rPr>
          <w:rFonts w:ascii="Arial" w:cs="Arial" w:eastAsia="Arial" w:hAnsi="Arial"/>
          <w:sz w:val="22"/>
          <w:szCs w:val="22"/>
          <w:color w:val="auto"/>
        </w:rPr>
        <w:t>(b), (c)</w:t>
        <w:tab/>
        <w:t>The Fund is principally engaged in the business of investing in securities. The principal business address of the Fund is 12 East 49</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Street, 40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 New York, NY 10017.</w:t>
      </w:r>
    </w:p>
    <w:p>
      <w:pPr>
        <w:spacing w:after="0" w:line="21" w:lineRule="exact"/>
        <w:rPr>
          <w:sz w:val="20"/>
          <w:szCs w:val="20"/>
          <w:color w:val="auto"/>
        </w:rPr>
      </w:pPr>
    </w:p>
    <w:p>
      <w:pPr>
        <w:jc w:val="both"/>
        <w:ind w:left="1820"/>
        <w:spacing w:after="0" w:line="279" w:lineRule="auto"/>
        <w:rPr>
          <w:sz w:val="20"/>
          <w:szCs w:val="20"/>
          <w:color w:val="auto"/>
        </w:rPr>
      </w:pPr>
      <w:r>
        <w:rPr>
          <w:rFonts w:ascii="Arial" w:cs="Arial" w:eastAsia="Arial" w:hAnsi="Arial"/>
          <w:sz w:val="19"/>
          <w:szCs w:val="19"/>
          <w:color w:val="auto"/>
        </w:rPr>
        <w:t>The General Partner is principally engaged in the business of serving as general partner and/or managing member to private investment vehicles, including the Fund. The principal business address</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of the General Partner is 12 East 49</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Street, 40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 New York, NY 10017.</w:t>
      </w:r>
    </w:p>
    <w:p>
      <w:pPr>
        <w:spacing w:after="0" w:line="114" w:lineRule="exact"/>
        <w:rPr>
          <w:sz w:val="20"/>
          <w:szCs w:val="20"/>
          <w:color w:val="auto"/>
        </w:rPr>
      </w:pPr>
    </w:p>
    <w:p>
      <w:pPr>
        <w:jc w:val="both"/>
        <w:ind w:left="1820"/>
        <w:spacing w:after="0" w:line="275" w:lineRule="auto"/>
        <w:rPr>
          <w:sz w:val="20"/>
          <w:szCs w:val="20"/>
          <w:color w:val="auto"/>
        </w:rPr>
      </w:pPr>
      <w:r>
        <w:rPr>
          <w:rFonts w:ascii="Arial" w:cs="Arial" w:eastAsia="Arial" w:hAnsi="Arial"/>
          <w:sz w:val="19"/>
          <w:szCs w:val="19"/>
          <w:color w:val="auto"/>
        </w:rPr>
        <w:t>The Investment Adviser is an investment adviser registered with the Securities and Exchange Commission (the “SEC”) that is principally engaged in the business of providing investment management services to private investment vehicles, including the Fund. The principal business</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21"/>
          <w:szCs w:val="21"/>
          <w:color w:val="auto"/>
        </w:rPr>
        <w:t>address of the Investment Adviser is 12 East 49</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Street, 40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Floor, New York, NY 10017.</w:t>
      </w:r>
    </w:p>
    <w:p>
      <w:pPr>
        <w:spacing w:after="0" w:line="126" w:lineRule="exact"/>
        <w:rPr>
          <w:sz w:val="20"/>
          <w:szCs w:val="20"/>
          <w:color w:val="auto"/>
        </w:rPr>
      </w:pPr>
    </w:p>
    <w:p>
      <w:pPr>
        <w:jc w:val="both"/>
        <w:ind w:left="1820"/>
        <w:spacing w:after="0" w:line="279" w:lineRule="auto"/>
        <w:rPr>
          <w:sz w:val="20"/>
          <w:szCs w:val="20"/>
          <w:color w:val="auto"/>
        </w:rPr>
      </w:pPr>
      <w:r>
        <w:rPr>
          <w:rFonts w:ascii="Arial" w:cs="Arial" w:eastAsia="Arial" w:hAnsi="Arial"/>
          <w:sz w:val="19"/>
          <w:szCs w:val="19"/>
          <w:color w:val="auto"/>
        </w:rPr>
        <w:t>Mr. Barrett and Mr. Soderlund are the co-owners and managing members of the General Partner and the Investment Adviser. The business address of each of Mr. Barrett and Mr. Soderlund is 12 East</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49</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Street, 40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 New York, NY 10017.</w:t>
      </w:r>
    </w:p>
    <w:p>
      <w:pPr>
        <w:spacing w:after="0" w:line="114" w:lineRule="exact"/>
        <w:rPr>
          <w:sz w:val="20"/>
          <w:szCs w:val="20"/>
          <w:color w:val="auto"/>
        </w:rPr>
      </w:pPr>
    </w:p>
    <w:p>
      <w:pPr>
        <w:ind w:left="1820" w:right="20" w:hanging="802"/>
        <w:spacing w:after="0" w:line="250" w:lineRule="auto"/>
        <w:tabs>
          <w:tab w:leader="none" w:pos="18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None of the Reporting Persons have, during the last five years, been convicted in a criminal proceeding (excluding traffic violations or similar misdemeanors).</w:t>
      </w:r>
    </w:p>
    <w:p>
      <w:pPr>
        <w:spacing w:after="0" w:line="201" w:lineRule="exact"/>
        <w:rPr>
          <w:rFonts w:ascii="Arial" w:cs="Arial" w:eastAsia="Arial" w:hAnsi="Arial"/>
          <w:sz w:val="22"/>
          <w:szCs w:val="22"/>
          <w:color w:val="auto"/>
        </w:rPr>
      </w:pPr>
    </w:p>
    <w:p>
      <w:pPr>
        <w:jc w:val="both"/>
        <w:ind w:left="1820" w:hanging="802"/>
        <w:spacing w:after="0" w:line="236" w:lineRule="auto"/>
        <w:tabs>
          <w:tab w:leader="none" w:pos="18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None of the Reporting Persons have,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149860</wp:posOffset>
            </wp:positionV>
            <wp:extent cx="64890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466725</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00"/>
          </w:cols>
          <w:pgMar w:left="420" w:top="712" w:right="879" w:bottom="1440" w:gutter="0" w:footer="0" w:header="0"/>
        </w:sectPr>
      </w:pPr>
    </w:p>
    <w:bookmarkStart w:id="12" w:name="page13"/>
    <w:bookmarkEnd w:id="12"/>
    <w:p>
      <w:pPr>
        <w:spacing w:after="0"/>
        <w:tabs>
          <w:tab w:leader="none" w:pos="100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Source and Amount of Funds or Other Consideration.</w:t>
      </w:r>
    </w:p>
    <w:p>
      <w:pPr>
        <w:spacing w:after="0" w:line="233" w:lineRule="exact"/>
        <w:rPr>
          <w:sz w:val="20"/>
          <w:szCs w:val="20"/>
          <w:color w:val="auto"/>
        </w:rPr>
      </w:pPr>
    </w:p>
    <w:p>
      <w:pPr>
        <w:jc w:val="both"/>
        <w:ind w:left="1020"/>
        <w:spacing w:after="0" w:line="275" w:lineRule="auto"/>
        <w:rPr>
          <w:sz w:val="20"/>
          <w:szCs w:val="20"/>
          <w:color w:val="auto"/>
        </w:rPr>
      </w:pPr>
      <w:r>
        <w:rPr>
          <w:rFonts w:ascii="Arial" w:cs="Arial" w:eastAsia="Arial" w:hAnsi="Arial"/>
          <w:sz w:val="19"/>
          <w:szCs w:val="19"/>
          <w:color w:val="auto"/>
        </w:rPr>
        <w:t>The funds for the purchase of the 3,741,746 Shares beneficially owned by the Fund came from the working capital of the Fund, which is the direct owner of the Shares. The funds for the purchase of the 4,362,481 Shares beneficially owned by the other Reporting Persons (which include the 3,741,746 Shares directly owned by the Fund) came from the working capital of the Fund and other private investment vehicles managed by the Investment Adviser, which are the direct owners of such Shares. The net investment cost (including commissions, if any) of the Shares owned by the Reporting Persons is approximately $33,642,407. No borrowed funds were used to purchase the Shares, other than any borrowed funds used for working capital purposes (including certain leverage arrangements)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130810</wp:posOffset>
            </wp:positionV>
            <wp:extent cx="6489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Purpose of Transaction.</w:t>
      </w:r>
    </w:p>
    <w:p>
      <w:pPr>
        <w:spacing w:after="0" w:line="233" w:lineRule="exact"/>
        <w:rPr>
          <w:sz w:val="20"/>
          <w:szCs w:val="20"/>
          <w:color w:val="auto"/>
        </w:rPr>
      </w:pPr>
    </w:p>
    <w:p>
      <w:pPr>
        <w:jc w:val="both"/>
        <w:ind w:left="1020"/>
        <w:spacing w:after="0" w:line="248" w:lineRule="auto"/>
        <w:rPr>
          <w:sz w:val="20"/>
          <w:szCs w:val="20"/>
          <w:color w:val="auto"/>
        </w:rPr>
      </w:pPr>
      <w:r>
        <w:rPr>
          <w:rFonts w:ascii="Arial" w:cs="Arial" w:eastAsia="Arial" w:hAnsi="Arial"/>
          <w:sz w:val="21"/>
          <w:szCs w:val="21"/>
          <w:color w:val="auto"/>
        </w:rPr>
        <w:t>The Reporting Persons originally acquired the Shares for investment purposes. The Reporting Persons have had discussions with certain representatives of the Issuer and management of the Issuer. The Reporting Persons have entered into a Cooperation Agreement with Issuer pursuant to which the Issuer increased the size of the Issuer’s Board of Directors (the “Board”) from 9 to 10 directors and appointed Dr. Rajeev Gautam to fill the newly created directorship on the recommendation of the Reporting Persons. The Cooperation Agreement is further described in Item 6 below.</w:t>
      </w:r>
    </w:p>
    <w:p>
      <w:pPr>
        <w:spacing w:after="0" w:line="204" w:lineRule="exact"/>
        <w:rPr>
          <w:sz w:val="20"/>
          <w:szCs w:val="20"/>
          <w:color w:val="auto"/>
        </w:rPr>
      </w:pPr>
    </w:p>
    <w:p>
      <w:pPr>
        <w:jc w:val="both"/>
        <w:ind w:left="1020"/>
        <w:spacing w:after="0" w:line="270" w:lineRule="auto"/>
        <w:rPr>
          <w:sz w:val="20"/>
          <w:szCs w:val="20"/>
          <w:color w:val="auto"/>
        </w:rPr>
      </w:pPr>
      <w:r>
        <w:rPr>
          <w:rFonts w:ascii="Arial" w:cs="Arial" w:eastAsia="Arial" w:hAnsi="Arial"/>
          <w:sz w:val="19"/>
          <w:szCs w:val="19"/>
          <w:color w:val="auto"/>
        </w:rPr>
        <w:t>The Reporting Persons intend to review their investment in the Issuer on a continuing basis. Depending on various factors, including the Issuer’s financial position and strategic direction, actions taken by the Board, price levels of the Shares, other investment opportunities available to the Reporting Persons, conditions in the securities market and general economic and industry conditions, the Reporting Persons may take such actions with respect to their investment in the Issuer as they deem appropriate including, without limitation, purchasing additional Shares, other securities or derivative instruments related thereto or selling some or all of their Shares, other securities or derivative instruments, engaging in hedging or similar transactions with respect to the Shares and, alone or with others, may engage in communications with directors and officers of the Issuer, other stockholders of the Issuer or other third parties or may take steps to implement a course of action, including, without limitation, engaging advisors, including legal, financial, regulatory, technical and/or industry advisors, to assist in any review.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its subsidiaries, a sale or transfer of a material amount of assets of the Issuer or any of its subsidiaries; material asset purchases; the formation of joint ventures with the Issuer or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its subsidiaries; changes to the capitalization, ownership structure, dividend policy, business or corporate structure or governance documents of the Issuer; de-listing or de-registration of the Issuer’s securities, or any action similar to those enumerated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285115</wp:posOffset>
            </wp:positionV>
            <wp:extent cx="6489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Interest in Securities of the Issuer.</w:t>
      </w:r>
    </w:p>
    <w:p>
      <w:pPr>
        <w:spacing w:after="0" w:line="233" w:lineRule="exact"/>
        <w:rPr>
          <w:sz w:val="20"/>
          <w:szCs w:val="20"/>
          <w:color w:val="auto"/>
        </w:rPr>
      </w:pPr>
    </w:p>
    <w:p>
      <w:pPr>
        <w:ind w:left="1820" w:hanging="802"/>
        <w:spacing w:after="0" w:line="274" w:lineRule="auto"/>
        <w:tabs>
          <w:tab w:leader="none" w:pos="1317" w:val="left"/>
        </w:tabs>
        <w:numPr>
          <w:ilvl w:val="0"/>
          <w:numId w:val="28"/>
        </w:numPr>
        <w:rPr>
          <w:rFonts w:ascii="Arial" w:cs="Arial" w:eastAsia="Arial" w:hAnsi="Arial"/>
          <w:sz w:val="19"/>
          <w:szCs w:val="19"/>
          <w:color w:val="auto"/>
        </w:rPr>
      </w:pPr>
      <w:r>
        <w:rPr>
          <w:rFonts w:ascii="Arial" w:cs="Arial" w:eastAsia="Arial" w:hAnsi="Arial"/>
          <w:sz w:val="19"/>
          <w:szCs w:val="19"/>
          <w:color w:val="auto"/>
        </w:rPr>
        <w:t>- (d) As of the date hereof (i) the Fund may be deemed to be the beneficial owner of 3,741,746 Shares, consisting of 3,134,746 Shares and 607,000 Shares issuable upon exercise of certain warrants of the Issuer held by the Fund, constituting 8.57% of the Shares in the aggregate and (ii) each of the General Partner, the Investment Adviser, Mr. Barrett and Mr. Soderlund may be deemed to be the beneficial owner of 4,362,481 Shares, consisting of 3,755,481 Shares and 607,000 Shares issuable upon exercise of certain warrants of the Issuer held by the Reporting Persons, constituting 9.99% of the Shares in the aggregate, in each case based upon the sum of (i) 43,064,365 Shares outstanding at May 3, 2021, as determined based on reports by the Issuer and (ii) 607,000 Shares issuable upon exercise of certain warrants of the Issuer held by the Reporting Persons.</w:t>
      </w:r>
    </w:p>
    <w:p>
      <w:pPr>
        <w:spacing w:after="0" w:line="185" w:lineRule="exact"/>
        <w:rPr>
          <w:sz w:val="20"/>
          <w:szCs w:val="20"/>
          <w:color w:val="auto"/>
        </w:rPr>
      </w:pPr>
    </w:p>
    <w:p>
      <w:pPr>
        <w:jc w:val="both"/>
        <w:ind w:left="1820"/>
        <w:spacing w:after="0" w:line="297" w:lineRule="auto"/>
        <w:rPr>
          <w:sz w:val="20"/>
          <w:szCs w:val="20"/>
          <w:color w:val="auto"/>
        </w:rPr>
      </w:pPr>
      <w:r>
        <w:rPr>
          <w:rFonts w:ascii="Arial" w:cs="Arial" w:eastAsia="Arial" w:hAnsi="Arial"/>
          <w:sz w:val="19"/>
          <w:szCs w:val="19"/>
          <w:color w:val="auto"/>
        </w:rPr>
        <w:t>The Fund has the sole power to vote or direct the vote of 0 Shares; has the shared power to vote or direct the vote of 3,741,746 Shares; has the sole power to dispose or direct the disposition of 0 Shares; and has the shared power to dispose or direct the disposition of 3,741,746 Shares.</w:t>
      </w:r>
    </w:p>
    <w:p>
      <w:pPr>
        <w:sectPr>
          <w:pgSz w:w="11900" w:h="16838" w:orient="portrait"/>
          <w:cols w:equalWidth="0" w:num="1">
            <w:col w:w="10600"/>
          </w:cols>
          <w:pgMar w:left="420" w:top="955" w:right="879" w:bottom="143" w:gutter="0" w:footer="0" w:header="0"/>
        </w:sectPr>
      </w:pPr>
    </w:p>
    <w:bookmarkStart w:id="13" w:name="page14"/>
    <w:bookmarkEnd w:id="13"/>
    <w:p>
      <w:pPr>
        <w:jc w:val="both"/>
        <w:ind w:left="802" w:right="20"/>
        <w:spacing w:after="0" w:line="297" w:lineRule="auto"/>
        <w:rPr>
          <w:sz w:val="20"/>
          <w:szCs w:val="20"/>
          <w:color w:val="auto"/>
        </w:rPr>
      </w:pPr>
      <w:r>
        <w:rPr>
          <w:rFonts w:ascii="Arial" w:cs="Arial" w:eastAsia="Arial" w:hAnsi="Arial"/>
          <w:sz w:val="19"/>
          <w:szCs w:val="19"/>
          <w:color w:val="auto"/>
        </w:rPr>
        <w:t>The General Partner has the sole power to vote or direct the vote of 0 Shares; has the shared power to vote or direct the vote of 4,362,481 Shares; has the sole power to dispose or direct the disposition of 0 Shares; and has the shared power to dispose or direct the disposition of 4,362,481 Shares.</w:t>
      </w:r>
    </w:p>
    <w:p>
      <w:pPr>
        <w:spacing w:after="0" w:line="161" w:lineRule="exact"/>
        <w:rPr>
          <w:sz w:val="20"/>
          <w:szCs w:val="20"/>
          <w:color w:val="auto"/>
        </w:rPr>
      </w:pPr>
    </w:p>
    <w:p>
      <w:pPr>
        <w:jc w:val="both"/>
        <w:ind w:left="802"/>
        <w:spacing w:after="0" w:line="238" w:lineRule="auto"/>
        <w:rPr>
          <w:sz w:val="20"/>
          <w:szCs w:val="20"/>
          <w:color w:val="auto"/>
        </w:rPr>
      </w:pPr>
      <w:r>
        <w:rPr>
          <w:rFonts w:ascii="Arial" w:cs="Arial" w:eastAsia="Arial" w:hAnsi="Arial"/>
          <w:sz w:val="22"/>
          <w:szCs w:val="22"/>
          <w:color w:val="auto"/>
        </w:rPr>
        <w:t>The Investment Adviser has the sole power to vote or direct the vote of 0 Shares; has the shared power to vote or direct the vote of 4,362,481 Shares; has the sole power to dispose or direct the disposition of 0 Shares; and has the shared power to dispose or direct the disposition of 4,362,481 Shares.</w:t>
      </w:r>
    </w:p>
    <w:p>
      <w:pPr>
        <w:spacing w:after="0" w:line="212" w:lineRule="exact"/>
        <w:rPr>
          <w:sz w:val="20"/>
          <w:szCs w:val="20"/>
          <w:color w:val="auto"/>
        </w:rPr>
      </w:pPr>
    </w:p>
    <w:p>
      <w:pPr>
        <w:jc w:val="both"/>
        <w:ind w:left="802" w:right="20"/>
        <w:spacing w:after="0" w:line="297" w:lineRule="auto"/>
        <w:rPr>
          <w:sz w:val="20"/>
          <w:szCs w:val="20"/>
          <w:color w:val="auto"/>
        </w:rPr>
      </w:pPr>
      <w:r>
        <w:rPr>
          <w:rFonts w:ascii="Arial" w:cs="Arial" w:eastAsia="Arial" w:hAnsi="Arial"/>
          <w:sz w:val="19"/>
          <w:szCs w:val="19"/>
          <w:color w:val="auto"/>
        </w:rPr>
        <w:t>Mr. Barrett has the sole power to vote or direct the vote of 0 Shares; has the shared power to vote or direct the vote of 4,362,481 Shares; has the sole power to dispose or direct the disposition of 0 Shares; and has the shared power to dispose or direct the disposition of 4,362,481 Shares.</w:t>
      </w:r>
    </w:p>
    <w:p>
      <w:pPr>
        <w:spacing w:after="0" w:line="161" w:lineRule="exact"/>
        <w:rPr>
          <w:sz w:val="20"/>
          <w:szCs w:val="20"/>
          <w:color w:val="auto"/>
        </w:rPr>
      </w:pPr>
    </w:p>
    <w:p>
      <w:pPr>
        <w:jc w:val="both"/>
        <w:ind w:left="802"/>
        <w:spacing w:after="0" w:line="297" w:lineRule="auto"/>
        <w:rPr>
          <w:sz w:val="20"/>
          <w:szCs w:val="20"/>
          <w:color w:val="auto"/>
        </w:rPr>
      </w:pPr>
      <w:r>
        <w:rPr>
          <w:rFonts w:ascii="Arial" w:cs="Arial" w:eastAsia="Arial" w:hAnsi="Arial"/>
          <w:sz w:val="19"/>
          <w:szCs w:val="19"/>
          <w:color w:val="auto"/>
        </w:rPr>
        <w:t>Mr. Soderlund has the sole power to vote or direct the vote of 0 Shares; has the shared power to vote or direct the vote of 4,362,481 Shares; has the sole power to dispose or direct the disposition of 0 Shares; and has the shared power to dispose or direct the disposition of 4,362,481 Shares.</w:t>
      </w:r>
    </w:p>
    <w:p>
      <w:pPr>
        <w:spacing w:after="0" w:line="161" w:lineRule="exact"/>
        <w:rPr>
          <w:sz w:val="20"/>
          <w:szCs w:val="20"/>
          <w:color w:val="auto"/>
        </w:rPr>
      </w:pPr>
    </w:p>
    <w:p>
      <w:pPr>
        <w:ind w:left="802"/>
        <w:spacing w:after="0"/>
        <w:rPr>
          <w:sz w:val="20"/>
          <w:szCs w:val="20"/>
          <w:color w:val="auto"/>
        </w:rPr>
      </w:pPr>
      <w:r>
        <w:rPr>
          <w:rFonts w:ascii="Arial" w:cs="Arial" w:eastAsia="Arial" w:hAnsi="Arial"/>
          <w:sz w:val="19"/>
          <w:szCs w:val="19"/>
          <w:color w:val="auto"/>
        </w:rPr>
        <w:t>There have been no transactions by the Reporting Persons in the Shares during the past sixty days.</w:t>
      </w:r>
    </w:p>
    <w:p>
      <w:pPr>
        <w:spacing w:after="0" w:line="268" w:lineRule="exact"/>
        <w:rPr>
          <w:sz w:val="20"/>
          <w:szCs w:val="20"/>
          <w:color w:val="auto"/>
        </w:rPr>
      </w:pPr>
    </w:p>
    <w:p>
      <w:pPr>
        <w:ind w:left="802" w:hanging="802"/>
        <w:spacing w:after="0"/>
        <w:tabs>
          <w:tab w:leader="none" w:pos="802" w:val="left"/>
        </w:tabs>
        <w:numPr>
          <w:ilvl w:val="0"/>
          <w:numId w:val="29"/>
        </w:numPr>
        <w:rPr>
          <w:rFonts w:ascii="Arial" w:cs="Arial" w:eastAsia="Arial" w:hAnsi="Arial"/>
          <w:sz w:val="22"/>
          <w:szCs w:val="22"/>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161290</wp:posOffset>
            </wp:positionV>
            <wp:extent cx="6489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478790</wp:posOffset>
            </wp:positionV>
            <wp:extent cx="71323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582"/>
          </w:cols>
          <w:pgMar w:left="1438" w:top="118" w:right="879" w:bottom="1440" w:gutter="0" w:footer="0" w:header="0"/>
        </w:sectPr>
      </w:pPr>
    </w:p>
    <w:bookmarkStart w:id="14" w:name="page15"/>
    <w:bookmarkEnd w:id="14"/>
    <w:p>
      <w:pPr>
        <w:spacing w:after="0"/>
        <w:tabs>
          <w:tab w:leader="none" w:pos="100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Contracts, Arrangements, Understandings or Relationships with Respect to Securities of the Issuer.</w:t>
      </w:r>
    </w:p>
    <w:p>
      <w:pPr>
        <w:spacing w:after="0" w:line="233" w:lineRule="exact"/>
        <w:rPr>
          <w:sz w:val="20"/>
          <w:szCs w:val="20"/>
          <w:color w:val="auto"/>
        </w:rPr>
      </w:pPr>
    </w:p>
    <w:p>
      <w:pPr>
        <w:jc w:val="both"/>
        <w:ind w:left="1020"/>
        <w:spacing w:after="0" w:line="238" w:lineRule="auto"/>
        <w:rPr>
          <w:sz w:val="20"/>
          <w:szCs w:val="20"/>
          <w:color w:val="auto"/>
        </w:rPr>
      </w:pPr>
      <w:r>
        <w:rPr>
          <w:rFonts w:ascii="Arial" w:cs="Arial" w:eastAsia="Arial" w:hAnsi="Arial"/>
          <w:sz w:val="22"/>
          <w:szCs w:val="22"/>
          <w:color w:val="auto"/>
        </w:rPr>
        <w:t>The Fund and other private investment vehicles managed by the Investment Adviser (the “Corre Holders”) hold common stock purchase warrants of the Issuer (the “Warrants”), pursuant to the terms of that certain Securities Purchase Agreement, dated December 5, 2019 (the “Purchase Agreement”). See Exhibit B for the Purchase Agreement.</w:t>
      </w:r>
    </w:p>
    <w:p>
      <w:pPr>
        <w:spacing w:after="0" w:line="212" w:lineRule="exact"/>
        <w:rPr>
          <w:sz w:val="20"/>
          <w:szCs w:val="20"/>
          <w:color w:val="auto"/>
        </w:rPr>
      </w:pPr>
    </w:p>
    <w:p>
      <w:pPr>
        <w:jc w:val="both"/>
        <w:ind w:left="1020"/>
        <w:spacing w:after="0" w:line="273" w:lineRule="auto"/>
        <w:rPr>
          <w:sz w:val="20"/>
          <w:szCs w:val="20"/>
          <w:color w:val="auto"/>
        </w:rPr>
      </w:pPr>
      <w:r>
        <w:rPr>
          <w:rFonts w:ascii="Arial" w:cs="Arial" w:eastAsia="Arial" w:hAnsi="Arial"/>
          <w:sz w:val="19"/>
          <w:szCs w:val="19"/>
          <w:color w:val="auto"/>
        </w:rPr>
        <w:t>The Warrants are exercisable, in full or in part, at any time prior to the seventh anniversary of their issuance, at an exercise price of $12.00 per share, subject to customary anti-dilution adjustments in the event of future below market issuances, stock splits, stock dividends, combinations or similar events set forth in the Warrants. The Warrants held by the Reporting Persons are subject to limitations on the right to exercise to the extent that after giving effect to such issuance after exercise, the Reporting Persons (together with the Reporting Persons’ affiliates, any other accounts managed by or over which the Investment Adviser or one of its affiliates has discretionary investment authority, or any other person or entity whose beneficial ownership of Shares would be aggregated with such persons’ beneficial ownership for purposes of Section 13(d) or Section 16 of the Securities Exchange Act of 1934), would beneficially own Shares in excess of 9.99% of the number of Shares outstanding (measured after giving effect to the issuance of Shares issuable upon exercise of the Warrants). See Exhibit C for the Warrants.</w:t>
      </w:r>
    </w:p>
    <w:p>
      <w:pPr>
        <w:spacing w:after="0" w:line="182" w:lineRule="exact"/>
        <w:rPr>
          <w:sz w:val="20"/>
          <w:szCs w:val="20"/>
          <w:color w:val="auto"/>
        </w:rPr>
      </w:pPr>
    </w:p>
    <w:p>
      <w:pPr>
        <w:jc w:val="both"/>
        <w:ind w:left="1020"/>
        <w:spacing w:after="0" w:line="279" w:lineRule="auto"/>
        <w:rPr>
          <w:sz w:val="20"/>
          <w:szCs w:val="20"/>
          <w:color w:val="auto"/>
        </w:rPr>
      </w:pPr>
      <w:r>
        <w:rPr>
          <w:rFonts w:ascii="Arial" w:cs="Arial" w:eastAsia="Arial" w:hAnsi="Arial"/>
          <w:sz w:val="19"/>
          <w:szCs w:val="19"/>
          <w:color w:val="auto"/>
        </w:rPr>
        <w:t>In connection with the issuance of certain Series B Convertible Preferred Stock of the Issuer, par value $0.01 per share (the “Preferred Stock”), previously held by the Corre Holders, all of which has been redeemed by the Issuer for cash, the Issuer entered into a registration rights agreement with the purchasers to provide certain customary demand registration rights exercisable beginning on March 31, 2021, with respect to their shares of common stock, including those underlying the Preferred Stock and Warrants, shares of Preferred Stock, and the Warrants. See Exhibit D for the Registration Rights Agreement.</w:t>
      </w:r>
    </w:p>
    <w:p>
      <w:pPr>
        <w:spacing w:after="0" w:line="177" w:lineRule="exact"/>
        <w:rPr>
          <w:sz w:val="20"/>
          <w:szCs w:val="20"/>
          <w:color w:val="auto"/>
        </w:rPr>
      </w:pPr>
    </w:p>
    <w:p>
      <w:pPr>
        <w:jc w:val="both"/>
        <w:ind w:left="1020"/>
        <w:spacing w:after="0" w:line="270" w:lineRule="auto"/>
        <w:rPr>
          <w:sz w:val="20"/>
          <w:szCs w:val="20"/>
          <w:color w:val="auto"/>
        </w:rPr>
      </w:pPr>
      <w:r>
        <w:rPr>
          <w:rFonts w:ascii="Arial" w:cs="Arial" w:eastAsia="Arial" w:hAnsi="Arial"/>
          <w:sz w:val="19"/>
          <w:szCs w:val="19"/>
          <w:color w:val="auto"/>
        </w:rPr>
        <w:t>The Reporting Persons have entered into a Cooperation Agreement with the Issuer as of May 13, 2021. Pursuant to the Cooperation Agreement, the Issuer increased the size of the Board from 9 to 10 directors and appointed Dr. Rajeev Gautam to fill the newly created directorship. Dr. Gautam will serve as a director with an initial term expiring at the Issuer’s 2021 annual meeting and will be included in the Issuer’s slate of director nominees for election at the 2021 and 2022 annual meeting. The Cooperation Agreement requires the Reporting Persons to, at the Issuer’s 2021 annual meeting and at any meeting of the Issuer’s stockholders held prior to the date of termination of the Standstill Period (as defined below), vote all of its Shares in favor of the election of directors nominated by the Board and otherwise in accordance with the Board’s recommendation with respect to all other matters, subject to certain exceptions for extraordinary transactions, adoption of corporate defenses, and matters with a contrary recommendation from either or both Institutional Shareholder Services Inc. and Glass Lewis &amp; Co., LLC. The Cooperation Agreement, among other things, contains certain customary standstill restrictions that apply to the Reporting Persons during the period from May 13, 2021 until the date that is 20 calendar days prior to the last day of the advance notice period for the submission by shareholders of director nominations for the Issuer’s 2023 annual meeting, as set forth in the advance notice provisions of the Issuer’s Amended and Restated Bylaws (the “</w:t>
      </w:r>
      <w:r>
        <w:rPr>
          <w:rFonts w:ascii="Arial" w:cs="Arial" w:eastAsia="Arial" w:hAnsi="Arial"/>
          <w:sz w:val="19"/>
          <w:szCs w:val="19"/>
          <w:u w:val="single" w:color="auto"/>
          <w:color w:val="auto"/>
        </w:rPr>
        <w:t>Standstill Period</w:t>
      </w:r>
      <w:r>
        <w:rPr>
          <w:rFonts w:ascii="Arial" w:cs="Arial" w:eastAsia="Arial" w:hAnsi="Arial"/>
          <w:sz w:val="19"/>
          <w:szCs w:val="19"/>
          <w:color w:val="auto"/>
        </w:rPr>
        <w:t>”). During the Standstill Period, the Reporting Persons are, among other things, restricted from engaging in any solicitation of proxies or written consents relating to the Issuer, acquiring any assets of the Issuer, or acquiring any voting stock that would result in the Reporting Persons having beneficial ownership of more than 15.0% of the Issuer’s outstanding common stock. See Exhibit E for the Cooperation Agreement.</w:t>
      </w:r>
    </w:p>
    <w:p>
      <w:pPr>
        <w:spacing w:after="0" w:line="190" w:lineRule="exact"/>
        <w:rPr>
          <w:sz w:val="20"/>
          <w:szCs w:val="20"/>
          <w:color w:val="auto"/>
        </w:rPr>
      </w:pPr>
    </w:p>
    <w:p>
      <w:pPr>
        <w:jc w:val="both"/>
        <w:ind w:left="1020"/>
        <w:spacing w:after="0" w:line="328" w:lineRule="auto"/>
        <w:rPr>
          <w:sz w:val="20"/>
          <w:szCs w:val="20"/>
          <w:color w:val="auto"/>
        </w:rPr>
      </w:pPr>
      <w:r>
        <w:rPr>
          <w:rFonts w:ascii="Arial" w:cs="Arial" w:eastAsia="Arial" w:hAnsi="Arial"/>
          <w:sz w:val="19"/>
          <w:szCs w:val="19"/>
          <w:color w:val="auto"/>
        </w:rPr>
        <w:t>The Reporting Persons do not have any contract, arrangement, understanding or relationship with any person with respect to securities of the Issuer that is not described above and/or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97155</wp:posOffset>
            </wp:positionV>
            <wp:extent cx="64890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414655</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600"/>
          </w:cols>
          <w:pgMar w:left="420" w:top="955" w:right="879" w:bottom="1440" w:gutter="0" w:footer="0" w:header="0"/>
        </w:sectPr>
      </w:pPr>
    </w:p>
    <w:bookmarkStart w:id="15" w:name="page16"/>
    <w:bookmarkEnd w:id="15"/>
    <w:p>
      <w:pPr>
        <w:spacing w:after="0"/>
        <w:tabs>
          <w:tab w:leader="none" w:pos="100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19"/>
          <w:szCs w:val="19"/>
          <w:color w:val="auto"/>
        </w:rPr>
        <w:t>Material to be Filed as Exhibits.</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Exhibit A: Joint Filing Agreement</w:t>
      </w:r>
    </w:p>
    <w:p>
      <w:pPr>
        <w:spacing w:after="0" w:line="233" w:lineRule="exact"/>
        <w:rPr>
          <w:sz w:val="20"/>
          <w:szCs w:val="20"/>
          <w:color w:val="auto"/>
        </w:rPr>
      </w:pPr>
    </w:p>
    <w:p>
      <w:pPr>
        <w:ind w:left="1020"/>
        <w:spacing w:after="0" w:line="250" w:lineRule="auto"/>
        <w:rPr>
          <w:sz w:val="20"/>
          <w:szCs w:val="20"/>
          <w:color w:val="auto"/>
        </w:rPr>
      </w:pPr>
      <w:r>
        <w:rPr>
          <w:rFonts w:ascii="Arial" w:cs="Arial" w:eastAsia="Arial" w:hAnsi="Arial"/>
          <w:sz w:val="22"/>
          <w:szCs w:val="22"/>
          <w:color w:val="auto"/>
        </w:rPr>
        <w:t>Exhibit B: Securities Purchase Agreement (incorporated by reference to Exhibit 10.1 to the Form 8-K filed with the SEC by the Issuer on December 11, 2019)</w:t>
      </w:r>
    </w:p>
    <w:p>
      <w:pPr>
        <w:spacing w:after="0" w:line="202" w:lineRule="exact"/>
        <w:rPr>
          <w:sz w:val="20"/>
          <w:szCs w:val="20"/>
          <w:color w:val="auto"/>
        </w:rPr>
      </w:pPr>
    </w:p>
    <w:p>
      <w:pPr>
        <w:ind w:left="1020"/>
        <w:spacing w:after="0" w:line="250" w:lineRule="auto"/>
        <w:rPr>
          <w:sz w:val="20"/>
          <w:szCs w:val="20"/>
          <w:color w:val="auto"/>
        </w:rPr>
      </w:pPr>
      <w:r>
        <w:rPr>
          <w:rFonts w:ascii="Arial" w:cs="Arial" w:eastAsia="Arial" w:hAnsi="Arial"/>
          <w:sz w:val="22"/>
          <w:szCs w:val="22"/>
          <w:color w:val="auto"/>
        </w:rPr>
        <w:t>Exhibit C: Common Stock Purchase Warrant (incorporated by reference to Exhibit 4.1 to the Form 8-K filed with the SEC by the Issuer on December 11, 2019)</w:t>
      </w:r>
    </w:p>
    <w:p>
      <w:pPr>
        <w:spacing w:after="0" w:line="202" w:lineRule="exact"/>
        <w:rPr>
          <w:sz w:val="20"/>
          <w:szCs w:val="20"/>
          <w:color w:val="auto"/>
        </w:rPr>
      </w:pPr>
    </w:p>
    <w:p>
      <w:pPr>
        <w:ind w:left="1020"/>
        <w:spacing w:after="0" w:line="250" w:lineRule="auto"/>
        <w:rPr>
          <w:sz w:val="20"/>
          <w:szCs w:val="20"/>
          <w:color w:val="auto"/>
        </w:rPr>
      </w:pPr>
      <w:r>
        <w:rPr>
          <w:rFonts w:ascii="Arial" w:cs="Arial" w:eastAsia="Arial" w:hAnsi="Arial"/>
          <w:sz w:val="22"/>
          <w:szCs w:val="22"/>
          <w:color w:val="auto"/>
        </w:rPr>
        <w:t>Exhibit D: Registration Rights Agreement (incorporated by reference to Exhibit 10.2 to the Form 8-K filed with the SEC by the Issuer on December 11, 2019)</w:t>
      </w:r>
    </w:p>
    <w:p>
      <w:pPr>
        <w:spacing w:after="0" w:line="202" w:lineRule="exact"/>
        <w:rPr>
          <w:sz w:val="20"/>
          <w:szCs w:val="20"/>
          <w:color w:val="auto"/>
        </w:rPr>
      </w:pPr>
    </w:p>
    <w:p>
      <w:pPr>
        <w:ind w:left="1020"/>
        <w:spacing w:after="0" w:line="250" w:lineRule="auto"/>
        <w:rPr>
          <w:sz w:val="20"/>
          <w:szCs w:val="20"/>
          <w:color w:val="auto"/>
        </w:rPr>
      </w:pPr>
      <w:r>
        <w:rPr>
          <w:rFonts w:ascii="Arial" w:cs="Arial" w:eastAsia="Arial" w:hAnsi="Arial"/>
          <w:sz w:val="22"/>
          <w:szCs w:val="22"/>
          <w:color w:val="auto"/>
        </w:rPr>
        <w:t>Exhibit E: Cooperation Agreement (incorporated by reference to Exhibit 10.1 to the Form 8-K filed with the SEC by the Issuer on May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141605</wp:posOffset>
            </wp:positionV>
            <wp:extent cx="64890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459105</wp:posOffset>
            </wp:positionV>
            <wp:extent cx="71323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600"/>
          </w:cols>
          <w:pgMar w:left="420" w:top="955" w:right="87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7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5"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May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6985</wp:posOffset>
            </wp:positionV>
            <wp:extent cx="1431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58"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Corre Opportunities Qualified Master Fund, LP*</w:t>
      </w:r>
    </w:p>
    <w:p>
      <w:pPr>
        <w:spacing w:after="0" w:line="8"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By: Corre Partners Advisors, LLC, its general partner</w:t>
      </w:r>
    </w:p>
    <w:p>
      <w:pPr>
        <w:spacing w:after="0" w:line="205" w:lineRule="exact"/>
        <w:rPr>
          <w:sz w:val="20"/>
          <w:szCs w:val="20"/>
          <w:color w:val="auto"/>
        </w:rPr>
      </w:pPr>
    </w:p>
    <w:tbl>
      <w:tblPr>
        <w:tblLayout w:type="fixed"/>
        <w:tblInd w:w="38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6620" w:type="dxa"/>
            <w:vAlign w:val="bottom"/>
          </w:tcPr>
          <w:p>
            <w:pPr>
              <w:ind w:left="20"/>
              <w:spacing w:after="0"/>
              <w:rPr>
                <w:sz w:val="20"/>
                <w:szCs w:val="20"/>
                <w:color w:val="auto"/>
              </w:rPr>
            </w:pPr>
            <w:r>
              <w:rPr>
                <w:rFonts w:ascii="Arial" w:cs="Arial" w:eastAsia="Arial" w:hAnsi="Arial"/>
                <w:sz w:val="22"/>
                <w:szCs w:val="22"/>
                <w:color w:val="auto"/>
              </w:rPr>
              <w:t>/s/ Eric Soderlund</w:t>
            </w: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6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80" w:type="dxa"/>
            <w:vAlign w:val="bottom"/>
            <w:vMerge w:val="continue"/>
          </w:tcPr>
          <w:p>
            <w:pPr>
              <w:spacing w:after="0"/>
              <w:rPr>
                <w:sz w:val="18"/>
                <w:szCs w:val="18"/>
                <w:color w:val="auto"/>
              </w:rPr>
            </w:pPr>
          </w:p>
        </w:tc>
        <w:tc>
          <w:tcPr>
            <w:tcW w:w="6620" w:type="dxa"/>
            <w:vAlign w:val="bottom"/>
          </w:tcPr>
          <w:p>
            <w:pPr>
              <w:ind w:left="20"/>
              <w:spacing w:after="0" w:line="216" w:lineRule="exact"/>
              <w:rPr>
                <w:sz w:val="20"/>
                <w:szCs w:val="20"/>
                <w:color w:val="auto"/>
              </w:rPr>
            </w:pPr>
            <w:r>
              <w:rPr>
                <w:rFonts w:ascii="Arial" w:cs="Arial" w:eastAsia="Arial" w:hAnsi="Arial"/>
                <w:sz w:val="22"/>
                <w:szCs w:val="22"/>
                <w:color w:val="auto"/>
              </w:rPr>
              <w:t>Eric Soderlund</w:t>
            </w:r>
          </w:p>
        </w:tc>
        <w:tc>
          <w:tcPr>
            <w:tcW w:w="0" w:type="dxa"/>
            <w:vAlign w:val="bottom"/>
          </w:tcPr>
          <w:p>
            <w:pPr>
              <w:spacing w:after="0"/>
              <w:rPr>
                <w:sz w:val="1"/>
                <w:szCs w:val="1"/>
                <w:color w:val="auto"/>
              </w:rPr>
            </w:pP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6620" w:type="dxa"/>
            <w:vAlign w:val="bottom"/>
          </w:tcPr>
          <w:p>
            <w:pPr>
              <w:ind w:left="20"/>
              <w:spacing w:after="0"/>
              <w:rPr>
                <w:sz w:val="20"/>
                <w:szCs w:val="20"/>
                <w:color w:val="auto"/>
              </w:rPr>
            </w:pPr>
            <w:r>
              <w:rPr>
                <w:rFonts w:ascii="Arial" w:cs="Arial" w:eastAsia="Arial" w:hAnsi="Arial"/>
                <w:sz w:val="22"/>
                <w:szCs w:val="22"/>
                <w:color w:val="auto"/>
              </w:rPr>
              <w:t>Managing Member</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Corre Partners Advisors, LLC*</w:t>
      </w:r>
    </w:p>
    <w:p>
      <w:pPr>
        <w:spacing w:after="0" w:line="223" w:lineRule="exact"/>
        <w:rPr>
          <w:sz w:val="20"/>
          <w:szCs w:val="20"/>
          <w:color w:val="auto"/>
        </w:rPr>
      </w:pPr>
    </w:p>
    <w:tbl>
      <w:tblPr>
        <w:tblLayout w:type="fixed"/>
        <w:tblInd w:w="38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6620" w:type="dxa"/>
            <w:vAlign w:val="bottom"/>
          </w:tcPr>
          <w:p>
            <w:pPr>
              <w:ind w:left="20"/>
              <w:spacing w:after="0"/>
              <w:rPr>
                <w:sz w:val="20"/>
                <w:szCs w:val="20"/>
                <w:color w:val="auto"/>
              </w:rPr>
            </w:pPr>
            <w:r>
              <w:rPr>
                <w:rFonts w:ascii="Arial" w:cs="Arial" w:eastAsia="Arial" w:hAnsi="Arial"/>
                <w:sz w:val="22"/>
                <w:szCs w:val="22"/>
                <w:color w:val="auto"/>
              </w:rPr>
              <w:t>/s/ Eric Soderlund</w:t>
            </w: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6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80" w:type="dxa"/>
            <w:vAlign w:val="bottom"/>
            <w:vMerge w:val="continue"/>
          </w:tcPr>
          <w:p>
            <w:pPr>
              <w:spacing w:after="0"/>
              <w:rPr>
                <w:sz w:val="18"/>
                <w:szCs w:val="18"/>
                <w:color w:val="auto"/>
              </w:rPr>
            </w:pPr>
          </w:p>
        </w:tc>
        <w:tc>
          <w:tcPr>
            <w:tcW w:w="6620" w:type="dxa"/>
            <w:vAlign w:val="bottom"/>
          </w:tcPr>
          <w:p>
            <w:pPr>
              <w:ind w:left="20"/>
              <w:spacing w:after="0" w:line="216" w:lineRule="exact"/>
              <w:rPr>
                <w:sz w:val="20"/>
                <w:szCs w:val="20"/>
                <w:color w:val="auto"/>
              </w:rPr>
            </w:pPr>
            <w:r>
              <w:rPr>
                <w:rFonts w:ascii="Arial" w:cs="Arial" w:eastAsia="Arial" w:hAnsi="Arial"/>
                <w:sz w:val="22"/>
                <w:szCs w:val="22"/>
                <w:color w:val="auto"/>
              </w:rPr>
              <w:t>Eric Soderlund</w:t>
            </w:r>
          </w:p>
        </w:tc>
        <w:tc>
          <w:tcPr>
            <w:tcW w:w="0" w:type="dxa"/>
            <w:vAlign w:val="bottom"/>
          </w:tcPr>
          <w:p>
            <w:pPr>
              <w:spacing w:after="0"/>
              <w:rPr>
                <w:sz w:val="1"/>
                <w:szCs w:val="1"/>
                <w:color w:val="auto"/>
              </w:rPr>
            </w:pP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6620" w:type="dxa"/>
            <w:vAlign w:val="bottom"/>
          </w:tcPr>
          <w:p>
            <w:pPr>
              <w:ind w:left="20"/>
              <w:spacing w:after="0"/>
              <w:rPr>
                <w:sz w:val="20"/>
                <w:szCs w:val="20"/>
                <w:color w:val="auto"/>
              </w:rPr>
            </w:pPr>
            <w:r>
              <w:rPr>
                <w:rFonts w:ascii="Arial" w:cs="Arial" w:eastAsia="Arial" w:hAnsi="Arial"/>
                <w:sz w:val="22"/>
                <w:szCs w:val="22"/>
                <w:color w:val="auto"/>
              </w:rPr>
              <w:t>Managing 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Corre Partners Management, LLC*</w:t>
      </w:r>
    </w:p>
    <w:p>
      <w:pPr>
        <w:spacing w:after="0" w:line="223" w:lineRule="exact"/>
        <w:rPr>
          <w:sz w:val="20"/>
          <w:szCs w:val="20"/>
          <w:color w:val="auto"/>
        </w:rPr>
      </w:pPr>
    </w:p>
    <w:tbl>
      <w:tblPr>
        <w:tblLayout w:type="fixed"/>
        <w:tblInd w:w="38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6620" w:type="dxa"/>
            <w:vAlign w:val="bottom"/>
          </w:tcPr>
          <w:p>
            <w:pPr>
              <w:ind w:left="20"/>
              <w:spacing w:after="0"/>
              <w:rPr>
                <w:sz w:val="20"/>
                <w:szCs w:val="20"/>
                <w:color w:val="auto"/>
              </w:rPr>
            </w:pPr>
            <w:r>
              <w:rPr>
                <w:rFonts w:ascii="Arial" w:cs="Arial" w:eastAsia="Arial" w:hAnsi="Arial"/>
                <w:sz w:val="22"/>
                <w:szCs w:val="22"/>
                <w:color w:val="auto"/>
              </w:rPr>
              <w:t>/s/ Eric Soderlund</w:t>
            </w: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6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80" w:type="dxa"/>
            <w:vAlign w:val="bottom"/>
            <w:vMerge w:val="continue"/>
          </w:tcPr>
          <w:p>
            <w:pPr>
              <w:spacing w:after="0"/>
              <w:rPr>
                <w:sz w:val="18"/>
                <w:szCs w:val="18"/>
                <w:color w:val="auto"/>
              </w:rPr>
            </w:pPr>
          </w:p>
        </w:tc>
        <w:tc>
          <w:tcPr>
            <w:tcW w:w="6620" w:type="dxa"/>
            <w:vAlign w:val="bottom"/>
          </w:tcPr>
          <w:p>
            <w:pPr>
              <w:ind w:left="20"/>
              <w:spacing w:after="0" w:line="216" w:lineRule="exact"/>
              <w:rPr>
                <w:sz w:val="20"/>
                <w:szCs w:val="20"/>
                <w:color w:val="auto"/>
              </w:rPr>
            </w:pPr>
            <w:r>
              <w:rPr>
                <w:rFonts w:ascii="Arial" w:cs="Arial" w:eastAsia="Arial" w:hAnsi="Arial"/>
                <w:sz w:val="22"/>
                <w:szCs w:val="22"/>
                <w:color w:val="auto"/>
              </w:rPr>
              <w:t>Eric Soderlund</w:t>
            </w:r>
          </w:p>
        </w:tc>
        <w:tc>
          <w:tcPr>
            <w:tcW w:w="0" w:type="dxa"/>
            <w:vAlign w:val="bottom"/>
          </w:tcPr>
          <w:p>
            <w:pPr>
              <w:spacing w:after="0"/>
              <w:rPr>
                <w:sz w:val="1"/>
                <w:szCs w:val="1"/>
                <w:color w:val="auto"/>
              </w:rPr>
            </w:pP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6620" w:type="dxa"/>
            <w:vAlign w:val="bottom"/>
          </w:tcPr>
          <w:p>
            <w:pPr>
              <w:ind w:left="20"/>
              <w:spacing w:after="0"/>
              <w:rPr>
                <w:sz w:val="20"/>
                <w:szCs w:val="20"/>
                <w:color w:val="auto"/>
              </w:rPr>
            </w:pPr>
            <w:r>
              <w:rPr>
                <w:rFonts w:ascii="Arial" w:cs="Arial" w:eastAsia="Arial" w:hAnsi="Arial"/>
                <w:sz w:val="22"/>
                <w:szCs w:val="22"/>
                <w:color w:val="auto"/>
              </w:rPr>
              <w:t>Managing 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John Barrett*</w:t>
      </w:r>
    </w:p>
    <w:p>
      <w:pPr>
        <w:spacing w:after="0" w:line="233"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6985</wp:posOffset>
            </wp:positionV>
            <wp:extent cx="47059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Eric Soderlund*</w:t>
      </w:r>
    </w:p>
    <w:p>
      <w:pPr>
        <w:spacing w:after="0" w:line="233"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6985</wp:posOffset>
            </wp:positionV>
            <wp:extent cx="47059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227" w:lineRule="exact"/>
        <w:rPr>
          <w:sz w:val="20"/>
          <w:szCs w:val="20"/>
          <w:color w:val="auto"/>
        </w:rPr>
      </w:pPr>
    </w:p>
    <w:p>
      <w:pPr>
        <w:jc w:val="both"/>
        <w:ind w:firstLine="8"/>
        <w:spacing w:after="0" w:line="297" w:lineRule="auto"/>
        <w:tabs>
          <w:tab w:leader="none" w:pos="192"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Reporting Person disclaims beneficial ownership of the reported securities except to the extent of his or its pecuniary interests therein, and this report shall not be deemed an admission that such person is the beneficial owner of these securities for purposes of Section 16 of the U.S. Securities Exchange Act of 1934, as amended, or for any other purpose.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200" w:lineRule="exact"/>
        <w:rPr>
          <w:sz w:val="20"/>
          <w:szCs w:val="20"/>
          <w:color w:val="auto"/>
        </w:rPr>
      </w:pPr>
    </w:p>
    <w:p>
      <w:pPr>
        <w:spacing w:after="0" w:line="27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undersigned agree that this Schedule 13D, dated May 17, 2021, relating to the warrants and common stock, par value $0.01 per share, of NN, Inc. shall be filed on behalf of the undersigned.</w:t>
      </w:r>
    </w:p>
    <w:p>
      <w:pPr>
        <w:spacing w:after="0" w:line="200" w:lineRule="exact"/>
        <w:rPr>
          <w:sz w:val="20"/>
          <w:szCs w:val="20"/>
          <w:color w:val="auto"/>
        </w:rPr>
      </w:pPr>
    </w:p>
    <w:p>
      <w:pPr>
        <w:spacing w:after="0" w:line="245"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May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6985</wp:posOffset>
            </wp:positionV>
            <wp:extent cx="1431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58"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Corre Opportunities Qualified Master Fund, LP</w:t>
      </w:r>
    </w:p>
    <w:p>
      <w:pPr>
        <w:spacing w:after="0" w:line="8"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By: Corre Partners Advisors, LLC, its general partner</w:t>
      </w:r>
    </w:p>
    <w:p>
      <w:pPr>
        <w:spacing w:after="0" w:line="205" w:lineRule="exact"/>
        <w:rPr>
          <w:sz w:val="20"/>
          <w:szCs w:val="20"/>
          <w:color w:val="auto"/>
        </w:rPr>
      </w:pPr>
    </w:p>
    <w:tbl>
      <w:tblPr>
        <w:tblLayout w:type="fixed"/>
        <w:tblInd w:w="38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6620" w:type="dxa"/>
            <w:vAlign w:val="bottom"/>
          </w:tcPr>
          <w:p>
            <w:pPr>
              <w:ind w:left="20"/>
              <w:spacing w:after="0"/>
              <w:rPr>
                <w:sz w:val="20"/>
                <w:szCs w:val="20"/>
                <w:color w:val="auto"/>
              </w:rPr>
            </w:pPr>
            <w:r>
              <w:rPr>
                <w:rFonts w:ascii="Arial" w:cs="Arial" w:eastAsia="Arial" w:hAnsi="Arial"/>
                <w:sz w:val="22"/>
                <w:szCs w:val="22"/>
                <w:color w:val="auto"/>
              </w:rPr>
              <w:t>/s/ Eric Soderlund</w:t>
            </w: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6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80" w:type="dxa"/>
            <w:vAlign w:val="bottom"/>
            <w:vMerge w:val="continue"/>
          </w:tcPr>
          <w:p>
            <w:pPr>
              <w:spacing w:after="0"/>
              <w:rPr>
                <w:sz w:val="18"/>
                <w:szCs w:val="18"/>
                <w:color w:val="auto"/>
              </w:rPr>
            </w:pPr>
          </w:p>
        </w:tc>
        <w:tc>
          <w:tcPr>
            <w:tcW w:w="6620" w:type="dxa"/>
            <w:vAlign w:val="bottom"/>
          </w:tcPr>
          <w:p>
            <w:pPr>
              <w:ind w:left="20"/>
              <w:spacing w:after="0" w:line="216" w:lineRule="exact"/>
              <w:rPr>
                <w:sz w:val="20"/>
                <w:szCs w:val="20"/>
                <w:color w:val="auto"/>
              </w:rPr>
            </w:pPr>
            <w:r>
              <w:rPr>
                <w:rFonts w:ascii="Arial" w:cs="Arial" w:eastAsia="Arial" w:hAnsi="Arial"/>
                <w:sz w:val="22"/>
                <w:szCs w:val="22"/>
                <w:color w:val="auto"/>
              </w:rPr>
              <w:t>Eric Soderlund</w:t>
            </w:r>
          </w:p>
        </w:tc>
        <w:tc>
          <w:tcPr>
            <w:tcW w:w="0" w:type="dxa"/>
            <w:vAlign w:val="bottom"/>
          </w:tcPr>
          <w:p>
            <w:pPr>
              <w:spacing w:after="0"/>
              <w:rPr>
                <w:sz w:val="1"/>
                <w:szCs w:val="1"/>
                <w:color w:val="auto"/>
              </w:rPr>
            </w:pP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6620" w:type="dxa"/>
            <w:vAlign w:val="bottom"/>
          </w:tcPr>
          <w:p>
            <w:pPr>
              <w:ind w:left="20"/>
              <w:spacing w:after="0"/>
              <w:rPr>
                <w:sz w:val="20"/>
                <w:szCs w:val="20"/>
                <w:color w:val="auto"/>
              </w:rPr>
            </w:pPr>
            <w:r>
              <w:rPr>
                <w:rFonts w:ascii="Arial" w:cs="Arial" w:eastAsia="Arial" w:hAnsi="Arial"/>
                <w:sz w:val="22"/>
                <w:szCs w:val="22"/>
                <w:color w:val="auto"/>
              </w:rPr>
              <w:t>Managing 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Corre Partners Advisors, LLC</w:t>
      </w:r>
    </w:p>
    <w:p>
      <w:pPr>
        <w:spacing w:after="0" w:line="223" w:lineRule="exact"/>
        <w:rPr>
          <w:sz w:val="20"/>
          <w:szCs w:val="20"/>
          <w:color w:val="auto"/>
        </w:rPr>
      </w:pPr>
    </w:p>
    <w:tbl>
      <w:tblPr>
        <w:tblLayout w:type="fixed"/>
        <w:tblInd w:w="38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6620" w:type="dxa"/>
            <w:vAlign w:val="bottom"/>
          </w:tcPr>
          <w:p>
            <w:pPr>
              <w:ind w:left="20"/>
              <w:spacing w:after="0"/>
              <w:rPr>
                <w:sz w:val="20"/>
                <w:szCs w:val="20"/>
                <w:color w:val="auto"/>
              </w:rPr>
            </w:pPr>
            <w:r>
              <w:rPr>
                <w:rFonts w:ascii="Arial" w:cs="Arial" w:eastAsia="Arial" w:hAnsi="Arial"/>
                <w:sz w:val="22"/>
                <w:szCs w:val="22"/>
                <w:color w:val="auto"/>
              </w:rPr>
              <w:t>/s/ Eric Soderlund</w:t>
            </w: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6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80" w:type="dxa"/>
            <w:vAlign w:val="bottom"/>
            <w:vMerge w:val="continue"/>
          </w:tcPr>
          <w:p>
            <w:pPr>
              <w:spacing w:after="0"/>
              <w:rPr>
                <w:sz w:val="18"/>
                <w:szCs w:val="18"/>
                <w:color w:val="auto"/>
              </w:rPr>
            </w:pPr>
          </w:p>
        </w:tc>
        <w:tc>
          <w:tcPr>
            <w:tcW w:w="6620" w:type="dxa"/>
            <w:vAlign w:val="bottom"/>
          </w:tcPr>
          <w:p>
            <w:pPr>
              <w:ind w:left="20"/>
              <w:spacing w:after="0" w:line="216" w:lineRule="exact"/>
              <w:rPr>
                <w:sz w:val="20"/>
                <w:szCs w:val="20"/>
                <w:color w:val="auto"/>
              </w:rPr>
            </w:pPr>
            <w:r>
              <w:rPr>
                <w:rFonts w:ascii="Arial" w:cs="Arial" w:eastAsia="Arial" w:hAnsi="Arial"/>
                <w:sz w:val="22"/>
                <w:szCs w:val="22"/>
                <w:color w:val="auto"/>
              </w:rPr>
              <w:t>Eric Soderlund</w:t>
            </w:r>
          </w:p>
        </w:tc>
        <w:tc>
          <w:tcPr>
            <w:tcW w:w="0" w:type="dxa"/>
            <w:vAlign w:val="bottom"/>
          </w:tcPr>
          <w:p>
            <w:pPr>
              <w:spacing w:after="0"/>
              <w:rPr>
                <w:sz w:val="1"/>
                <w:szCs w:val="1"/>
                <w:color w:val="auto"/>
              </w:rPr>
            </w:pP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6620" w:type="dxa"/>
            <w:vAlign w:val="bottom"/>
          </w:tcPr>
          <w:p>
            <w:pPr>
              <w:ind w:left="20"/>
              <w:spacing w:after="0"/>
              <w:rPr>
                <w:sz w:val="20"/>
                <w:szCs w:val="20"/>
                <w:color w:val="auto"/>
              </w:rPr>
            </w:pPr>
            <w:r>
              <w:rPr>
                <w:rFonts w:ascii="Arial" w:cs="Arial" w:eastAsia="Arial" w:hAnsi="Arial"/>
                <w:sz w:val="22"/>
                <w:szCs w:val="22"/>
                <w:color w:val="auto"/>
              </w:rPr>
              <w:t>Managing 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Corre Partners Management, LLC</w:t>
      </w:r>
    </w:p>
    <w:p>
      <w:pPr>
        <w:spacing w:after="0" w:line="223" w:lineRule="exact"/>
        <w:rPr>
          <w:sz w:val="20"/>
          <w:szCs w:val="20"/>
          <w:color w:val="auto"/>
        </w:rPr>
      </w:pPr>
    </w:p>
    <w:tbl>
      <w:tblPr>
        <w:tblLayout w:type="fixed"/>
        <w:tblInd w:w="38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6620" w:type="dxa"/>
            <w:vAlign w:val="bottom"/>
          </w:tcPr>
          <w:p>
            <w:pPr>
              <w:ind w:left="20"/>
              <w:spacing w:after="0"/>
              <w:rPr>
                <w:sz w:val="20"/>
                <w:szCs w:val="20"/>
                <w:color w:val="auto"/>
              </w:rPr>
            </w:pPr>
            <w:r>
              <w:rPr>
                <w:rFonts w:ascii="Arial" w:cs="Arial" w:eastAsia="Arial" w:hAnsi="Arial"/>
                <w:sz w:val="22"/>
                <w:szCs w:val="22"/>
                <w:color w:val="auto"/>
              </w:rPr>
              <w:t>/s/ Eric Soderlund</w:t>
            </w: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6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80" w:type="dxa"/>
            <w:vAlign w:val="bottom"/>
            <w:vMerge w:val="continue"/>
          </w:tcPr>
          <w:p>
            <w:pPr>
              <w:spacing w:after="0"/>
              <w:rPr>
                <w:sz w:val="18"/>
                <w:szCs w:val="18"/>
                <w:color w:val="auto"/>
              </w:rPr>
            </w:pPr>
          </w:p>
        </w:tc>
        <w:tc>
          <w:tcPr>
            <w:tcW w:w="6620" w:type="dxa"/>
            <w:vAlign w:val="bottom"/>
          </w:tcPr>
          <w:p>
            <w:pPr>
              <w:ind w:left="20"/>
              <w:spacing w:after="0" w:line="216" w:lineRule="exact"/>
              <w:rPr>
                <w:sz w:val="20"/>
                <w:szCs w:val="20"/>
                <w:color w:val="auto"/>
              </w:rPr>
            </w:pPr>
            <w:r>
              <w:rPr>
                <w:rFonts w:ascii="Arial" w:cs="Arial" w:eastAsia="Arial" w:hAnsi="Arial"/>
                <w:sz w:val="22"/>
                <w:szCs w:val="22"/>
                <w:color w:val="auto"/>
              </w:rPr>
              <w:t>Eric Soderlund</w:t>
            </w:r>
          </w:p>
        </w:tc>
        <w:tc>
          <w:tcPr>
            <w:tcW w:w="0" w:type="dxa"/>
            <w:vAlign w:val="bottom"/>
          </w:tcPr>
          <w:p>
            <w:pPr>
              <w:spacing w:after="0"/>
              <w:rPr>
                <w:sz w:val="1"/>
                <w:szCs w:val="1"/>
                <w:color w:val="auto"/>
              </w:rPr>
            </w:pP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6620" w:type="dxa"/>
            <w:vAlign w:val="bottom"/>
          </w:tcPr>
          <w:p>
            <w:pPr>
              <w:ind w:left="20"/>
              <w:spacing w:after="0"/>
              <w:rPr>
                <w:sz w:val="20"/>
                <w:szCs w:val="20"/>
                <w:color w:val="auto"/>
              </w:rPr>
            </w:pPr>
            <w:r>
              <w:rPr>
                <w:rFonts w:ascii="Arial" w:cs="Arial" w:eastAsia="Arial" w:hAnsi="Arial"/>
                <w:sz w:val="22"/>
                <w:szCs w:val="22"/>
                <w:color w:val="auto"/>
              </w:rPr>
              <w:t>Managing 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John Barrett</w:t>
      </w:r>
    </w:p>
    <w:p>
      <w:pPr>
        <w:spacing w:after="0" w:line="233"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6985</wp:posOffset>
            </wp:positionV>
            <wp:extent cx="47059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Eric Soderlund</w:t>
      </w:r>
    </w:p>
    <w:p>
      <w:pPr>
        <w:spacing w:after="0" w:line="233"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6985</wp:posOffset>
            </wp:positionV>
            <wp:extent cx="47059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05985" cy="8890"/>
                    </a:xfrm>
                    <a:prstGeom prst="rect">
                      <a:avLst/>
                    </a:prstGeom>
                    <a:noFill/>
                  </pic:spPr>
                </pic:pic>
              </a:graphicData>
            </a:graphic>
          </wp:anchor>
        </w:drawing>
      </w:r>
    </w:p>
    <w:sectPr>
      <w:pgSz w:w="11900" w:h="16838" w:orient="portrait"/>
      <w:cols w:equalWidth="0" w:num="1">
        <w:col w:w="11240"/>
      </w:cols>
      <w:pgMar w:left="320" w:top="4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6"/>
    </w:lvl>
  </w:abstractNum>
  <w:abstractNum w:abstractNumId="4">
    <w:nsid w:val="519B500D"/>
    <w:multiLevelType w:val="hybridMultilevel"/>
    <w:lvl w:ilvl="0">
      <w:lvlJc w:val="left"/>
      <w:lvlText w:val="%1."/>
      <w:numFmt w:val="decimal"/>
      <w:start w:val="7"/>
    </w:lvl>
  </w:abstractNum>
  <w:abstractNum w:abstractNumId="5">
    <w:nsid w:val="431BD7B7"/>
    <w:multiLevelType w:val="hybridMultilevel"/>
    <w:lvl w:ilvl="0">
      <w:lvlJc w:val="left"/>
      <w:lvlText w:val="*"/>
      <w:numFmt w:val="bullet"/>
      <w:start w:val="1"/>
    </w:lvl>
    <w:lvl w:ilvl="1">
      <w:lvlJc w:val="left"/>
      <w:lvlText w:val="%2."/>
      <w:numFmt w:val="decimal"/>
      <w:start w:val="13"/>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3"/>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
      <w:numFmt w:val="bullet"/>
      <w:start w:val="1"/>
    </w:lvl>
    <w:lvl w:ilvl="1">
      <w:lvlJc w:val="left"/>
      <w:lvlText w:val="%2."/>
      <w:numFmt w:val="decimal"/>
      <w:start w:val="13"/>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3"/>
    </w:lvl>
  </w:abstractNum>
  <w:abstractNum w:abstractNumId="13">
    <w:nsid w:val="721DA317"/>
    <w:multiLevelType w:val="hybridMultilevel"/>
    <w:lvl w:ilvl="0">
      <w:lvlJc w:val="left"/>
      <w:lvlText w:val="%1."/>
      <w:numFmt w:val="decimal"/>
      <w:start w:val="6"/>
    </w:lvl>
  </w:abstractNum>
  <w:abstractNum w:abstractNumId="14">
    <w:nsid w:val="2443A858"/>
    <w:multiLevelType w:val="hybridMultilevel"/>
    <w:lvl w:ilvl="0">
      <w:lvlJc w:val="left"/>
      <w:lvlText w:val="%1."/>
      <w:numFmt w:val="decimal"/>
      <w:start w:val="7"/>
    </w:lvl>
  </w:abstractNum>
  <w:abstractNum w:abstractNumId="15">
    <w:nsid w:val="2D1D5AE9"/>
    <w:multiLevelType w:val="hybridMultilevel"/>
    <w:lvl w:ilvl="0">
      <w:lvlJc w:val="left"/>
      <w:lvlText w:val="*"/>
      <w:numFmt w:val="bullet"/>
      <w:start w:val="1"/>
    </w:lvl>
    <w:lvl w:ilvl="1">
      <w:lvlJc w:val="left"/>
      <w:lvlText w:val="%2."/>
      <w:numFmt w:val="decimal"/>
      <w:start w:val="13"/>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3"/>
    </w:lvl>
  </w:abstractNum>
  <w:abstractNum w:abstractNumId="18">
    <w:nsid w:val="8EDBDAB"/>
    <w:multiLevelType w:val="hybridMultilevel"/>
    <w:lvl w:ilvl="0">
      <w:lvlJc w:val="left"/>
      <w:lvlText w:val="%1."/>
      <w:numFmt w:val="decimal"/>
      <w:start w:val="6"/>
    </w:lvl>
  </w:abstractNum>
  <w:abstractNum w:abstractNumId="19">
    <w:nsid w:val="79838CB2"/>
    <w:multiLevelType w:val="hybridMultilevel"/>
    <w:lvl w:ilvl="0">
      <w:lvlJc w:val="left"/>
      <w:lvlText w:val="%1."/>
      <w:numFmt w:val="decimal"/>
      <w:start w:val="7"/>
    </w:lvl>
  </w:abstractNum>
  <w:abstractNum w:abstractNumId="20">
    <w:nsid w:val="4353D0CD"/>
    <w:multiLevelType w:val="hybridMultilevel"/>
    <w:lvl w:ilvl="0">
      <w:lvlJc w:val="left"/>
      <w:lvlText w:val="*"/>
      <w:numFmt w:val="bullet"/>
      <w:start w:val="1"/>
    </w:lvl>
    <w:lvl w:ilvl="1">
      <w:lvlJc w:val="left"/>
      <w:lvlText w:val="%2."/>
      <w:numFmt w:val="decimal"/>
      <w:start w:val="13"/>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3"/>
    </w:lvl>
  </w:abstractNum>
  <w:abstractNum w:abstractNumId="23">
    <w:nsid w:val="54E49EB4"/>
    <w:multiLevelType w:val="hybridMultilevel"/>
    <w:lvl w:ilvl="0">
      <w:lvlJc w:val="left"/>
      <w:lvlText w:val="%1."/>
      <w:numFmt w:val="decimal"/>
      <w:start w:val="6"/>
    </w:lvl>
  </w:abstractNum>
  <w:abstractNum w:abstractNumId="24">
    <w:nsid w:val="71F32454"/>
    <w:multiLevelType w:val="hybridMultilevel"/>
    <w:lvl w:ilvl="0">
      <w:lvlJc w:val="left"/>
      <w:lvlText w:val="%1."/>
      <w:numFmt w:val="decimal"/>
      <w:start w:val="7"/>
    </w:lvl>
  </w:abstractNum>
  <w:abstractNum w:abstractNumId="25">
    <w:nsid w:val="2CA88611"/>
    <w:multiLevelType w:val="hybridMultilevel"/>
    <w:lvl w:ilvl="0">
      <w:lvlJc w:val="left"/>
      <w:lvlText w:val="*"/>
      <w:numFmt w:val="bullet"/>
      <w:start w:val="1"/>
    </w:lvl>
    <w:lvl w:ilvl="1">
      <w:lvlJc w:val="left"/>
      <w:lvlText w:val="%2."/>
      <w:numFmt w:val="decimal"/>
      <w:start w:val="13"/>
    </w:lvl>
  </w:abstractNum>
  <w:abstractNum w:abstractNumId="26">
    <w:nsid w:val="836C40E"/>
    <w:multiLevelType w:val="hybridMultilevel"/>
    <w:lvl w:ilvl="0">
      <w:lvlJc w:val="left"/>
      <w:lvlText w:val="(%1)"/>
      <w:numFmt w:val="lowerLetter"/>
      <w:start w:val="4"/>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5"/>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2021-05-17T09:02:49Z</dcterms:created>
  <dcterms:modified xsi:type="dcterms:W3CDTF">2021-05-17T09:02:49Z</dcterms:modified>
</cp:coreProperties>
</file>