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79"/>
        <w:spacing w:after="0"/>
        <w:rPr>
          <w:sz w:val="20"/>
          <w:szCs w:val="20"/>
          <w:color w:val="auto"/>
        </w:rPr>
      </w:pPr>
      <w:r>
        <w:rPr>
          <w:rFonts w:ascii="Courier New" w:cs="Courier New" w:eastAsia="Courier New" w:hAnsi="Courier New"/>
          <w:sz w:val="18"/>
          <w:szCs w:val="18"/>
          <w:color w:val="auto"/>
        </w:rPr>
        <w:t>UNITED STATES</w:t>
      </w:r>
    </w:p>
    <w:p>
      <w:pPr>
        <w:jc w:val="center"/>
        <w:ind w:right="19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line="235" w:lineRule="auto"/>
        <w:rPr>
          <w:sz w:val="20"/>
          <w:szCs w:val="20"/>
          <w:color w:val="auto"/>
        </w:rPr>
      </w:pPr>
      <w:r>
        <w:rPr>
          <w:rFonts w:ascii="Courier New" w:cs="Courier New" w:eastAsia="Courier New" w:hAnsi="Courier New"/>
          <w:sz w:val="18"/>
          <w:szCs w:val="18"/>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July 25, 2001</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5" w:lineRule="exact"/>
        <w:rPr>
          <w:sz w:val="24"/>
          <w:szCs w:val="24"/>
          <w:color w:val="auto"/>
        </w:rPr>
      </w:pPr>
    </w:p>
    <w:p>
      <w:pPr>
        <w:sectPr>
          <w:pgSz w:w="11900" w:h="16838" w:orient="portrait"/>
          <w:cols w:equalWidth="0" w:num="2">
            <w:col w:w="4020" w:space="200"/>
            <w:col w:w="5999"/>
          </w:cols>
          <w:pgMar w:left="240" w:top="244" w:right="1440" w:bottom="1440" w:gutter="0" w:footer="0" w:header="0"/>
          <w:type w:val="continuous"/>
        </w:sectPr>
      </w:pPr>
    </w:p>
    <w:p>
      <w:pPr>
        <w:spacing w:after="0" w:line="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138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25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0-23485</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320"/>
        <w:spacing w:after="0"/>
        <w:tabs>
          <w:tab w:leader="none" w:pos="4100" w:val="left"/>
          <w:tab w:leader="none" w:pos="64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860"/>
        <w:spacing w:after="0"/>
        <w:tabs>
          <w:tab w:leader="none" w:pos="4000" w:val="left"/>
          <w:tab w:leader="none" w:pos="61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ind w:left="740"/>
        <w:spacing w:after="0"/>
        <w:tabs>
          <w:tab w:leader="none" w:pos="65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line="235"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5" w:lineRule="exact"/>
        <w:rPr>
          <w:sz w:val="24"/>
          <w:szCs w:val="24"/>
          <w:color w:val="auto"/>
        </w:rPr>
      </w:pPr>
    </w:p>
    <w:p>
      <w:pPr>
        <w:sectPr>
          <w:pgSz w:w="11900" w:h="16838" w:orient="portrait"/>
          <w:cols w:equalWidth="0" w:num="2">
            <w:col w:w="4220" w:space="420"/>
            <w:col w:w="5579"/>
          </w:cols>
          <w:pgMar w:left="240" w:top="244" w:right="1440" w:bottom="1440" w:gutter="0" w:footer="0" w:header="0"/>
          <w:type w:val="continuous"/>
        </w:sectPr>
      </w:pPr>
    </w:p>
    <w:p>
      <w:pPr>
        <w:spacing w:after="0" w:line="200" w:lineRule="exact"/>
        <w:rPr>
          <w:sz w:val="24"/>
          <w:szCs w:val="24"/>
          <w:color w:val="auto"/>
        </w:rPr>
      </w:pPr>
    </w:p>
    <w:p>
      <w:pPr>
        <w:spacing w:after="0" w:line="20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On July 25, 2001, the Company issued a press release announcing its second quarter earnings and its new long term financing arrangement. A copy of the press release is attached as Exhibit 99.1 hereto and incorporated herein by reference.</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640"/>
        <w:spacing w:after="0"/>
        <w:tabs>
          <w:tab w:leader="none" w:pos="1360" w:val="left"/>
          <w:tab w:leader="none" w:pos="2420" w:val="left"/>
        </w:tabs>
        <w:rPr>
          <w:sz w:val="20"/>
          <w:szCs w:val="20"/>
          <w:color w:val="auto"/>
        </w:rPr>
      </w:pPr>
      <w:r>
        <w:rPr>
          <w:rFonts w:ascii="Courier New" w:cs="Courier New" w:eastAsia="Courier New" w:hAnsi="Courier New"/>
          <w:sz w:val="18"/>
          <w:szCs w:val="18"/>
          <w:color w:val="auto"/>
        </w:rPr>
        <w:t>Date:</w:t>
        <w:tab/>
        <w:t>July 25,</w:t>
      </w:r>
      <w:r>
        <w:rPr>
          <w:sz w:val="20"/>
          <w:szCs w:val="20"/>
          <w:color w:val="auto"/>
        </w:rPr>
        <w:tab/>
      </w:r>
      <w:r>
        <w:rPr>
          <w:rFonts w:ascii="Courier New" w:cs="Courier New" w:eastAsia="Courier New" w:hAnsi="Courier New"/>
          <w:sz w:val="16"/>
          <w:szCs w:val="16"/>
          <w:color w:val="auto"/>
        </w:rPr>
        <w:t>2001</w:t>
      </w:r>
    </w:p>
    <w:p>
      <w:pPr>
        <w:ind w:left="4440"/>
        <w:spacing w:after="0" w:line="238" w:lineRule="auto"/>
        <w:rPr>
          <w:sz w:val="20"/>
          <w:szCs w:val="20"/>
          <w:color w:val="auto"/>
        </w:rPr>
      </w:pPr>
      <w:r>
        <w:rPr>
          <w:rFonts w:ascii="Courier New" w:cs="Courier New" w:eastAsia="Courier New" w:hAnsi="Courier New"/>
          <w:sz w:val="18"/>
          <w:szCs w:val="18"/>
          <w:color w:val="auto"/>
        </w:rPr>
        <w:t>NN, INC.</w:t>
      </w:r>
    </w:p>
    <w:p>
      <w:pPr>
        <w:spacing w:after="0" w:line="200" w:lineRule="exact"/>
        <w:rPr>
          <w:sz w:val="20"/>
          <w:szCs w:val="20"/>
          <w:color w:val="auto"/>
        </w:rPr>
      </w:pPr>
    </w:p>
    <w:p>
      <w:pPr>
        <w:spacing w:after="0" w:line="204"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William C. Kelly, Jr.</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William C. Kelly, Jr.,</w:t>
      </w:r>
    </w:p>
    <w:p>
      <w:pPr>
        <w:ind w:left="4740"/>
        <w:spacing w:after="0" w:line="238" w:lineRule="auto"/>
        <w:rPr>
          <w:sz w:val="20"/>
          <w:szCs w:val="20"/>
          <w:color w:val="auto"/>
        </w:rPr>
      </w:pPr>
      <w:r>
        <w:rPr>
          <w:rFonts w:ascii="Courier New" w:cs="Courier New" w:eastAsia="Courier New" w:hAnsi="Courier New"/>
          <w:sz w:val="18"/>
          <w:szCs w:val="18"/>
          <w:color w:val="auto"/>
        </w:rPr>
        <w:t>Chief Accounting Officer</w:t>
      </w:r>
    </w:p>
    <w:p>
      <w:pPr>
        <w:sectPr>
          <w:pgSz w:w="11900" w:h="16838" w:orient="portrait"/>
          <w:cols w:equalWidth="0" w:num="1">
            <w:col w:w="10219"/>
          </w:cols>
          <w:pgMar w:left="240" w:top="132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17"/>
                <w:szCs w:val="17"/>
                <w:color w:val="auto"/>
              </w:rPr>
            </w:pPr>
          </w:p>
        </w:tc>
        <w:tc>
          <w:tcPr>
            <w:tcW w:w="2280" w:type="dxa"/>
            <w:vAlign w:val="bottom"/>
          </w:tcPr>
          <w:p>
            <w:pPr>
              <w:ind w:left="1480"/>
              <w:spacing w:after="0"/>
              <w:rPr>
                <w:sz w:val="20"/>
                <w:szCs w:val="20"/>
                <w:color w:val="auto"/>
              </w:rPr>
            </w:pPr>
            <w:r>
              <w:rPr>
                <w:rFonts w:ascii="Courier New" w:cs="Courier New" w:eastAsia="Courier New" w:hAnsi="Courier New"/>
                <w:sz w:val="18"/>
                <w:szCs w:val="18"/>
                <w:color w:val="auto"/>
              </w:rPr>
              <w:t>Exhibit</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99.1</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NEWS BULLETIN</w:t>
            </w:r>
          </w:p>
        </w:tc>
        <w:tc>
          <w:tcPr>
            <w:tcW w:w="2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5480" w:type="dxa"/>
            <w:vAlign w:val="bottom"/>
          </w:tcPr>
          <w:p>
            <w:pPr>
              <w:ind w:left="4740"/>
              <w:spacing w:after="0" w:line="203" w:lineRule="exact"/>
              <w:rPr>
                <w:sz w:val="20"/>
                <w:szCs w:val="20"/>
                <w:color w:val="auto"/>
              </w:rPr>
            </w:pPr>
            <w:r>
              <w:rPr>
                <w:rFonts w:ascii="Courier New" w:cs="Courier New" w:eastAsia="Courier New" w:hAnsi="Courier New"/>
                <w:sz w:val="18"/>
                <w:szCs w:val="18"/>
                <w:color w:val="auto"/>
              </w:rPr>
              <w:t>RE:</w:t>
            </w:r>
          </w:p>
        </w:tc>
        <w:tc>
          <w:tcPr>
            <w:tcW w:w="2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NN, INC.</w:t>
            </w:r>
          </w:p>
        </w:tc>
        <w:tc>
          <w:tcPr>
            <w:tcW w:w="580" w:type="dxa"/>
            <w:vAlign w:val="bottom"/>
          </w:tcPr>
          <w:p>
            <w:pPr>
              <w:spacing w:after="0"/>
              <w:rPr>
                <w:sz w:val="17"/>
                <w:szCs w:val="17"/>
                <w:color w:val="auto"/>
              </w:rPr>
            </w:pPr>
          </w:p>
        </w:tc>
      </w:tr>
      <w:tr>
        <w:trPr>
          <w:trHeight w:val="203"/>
        </w:trPr>
        <w:tc>
          <w:tcPr>
            <w:tcW w:w="5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FROM:</w:t>
            </w:r>
          </w:p>
        </w:tc>
        <w:tc>
          <w:tcPr>
            <w:tcW w:w="2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2000 Waters Edge Drive</w:t>
            </w:r>
          </w:p>
        </w:tc>
      </w:tr>
      <w:tr>
        <w:trPr>
          <w:trHeight w:val="203"/>
        </w:trPr>
        <w:tc>
          <w:tcPr>
            <w:tcW w:w="5480" w:type="dxa"/>
            <w:vAlign w:val="bottom"/>
          </w:tcPr>
          <w:p>
            <w:pPr>
              <w:spacing w:after="0"/>
              <w:rPr>
                <w:sz w:val="17"/>
                <w:szCs w:val="17"/>
                <w:color w:val="auto"/>
              </w:rPr>
            </w:pPr>
          </w:p>
        </w:tc>
        <w:tc>
          <w:tcPr>
            <w:tcW w:w="2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Johnson City, TN</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37604</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Financial Relations Board Logo]</w:t>
            </w:r>
          </w:p>
        </w:tc>
        <w:tc>
          <w:tcPr>
            <w:tcW w:w="22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4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BSMG WORLDWIDE</w:t>
            </w:r>
          </w:p>
        </w:tc>
        <w:tc>
          <w:tcPr>
            <w:tcW w:w="228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20"/>
                <w:szCs w:val="20"/>
                <w:color w:val="auto"/>
              </w:rPr>
            </w:pPr>
            <w:r>
              <w:rPr>
                <w:rFonts w:ascii="Courier New" w:cs="Courier New" w:eastAsia="Courier New" w:hAnsi="Courier New"/>
                <w:sz w:val="18"/>
                <w:szCs w:val="18"/>
                <w:color w:val="auto"/>
              </w:rPr>
              <w:t>FOR FURTHER INFORMATION:</w:t>
            </w:r>
          </w:p>
        </w:tc>
        <w:tc>
          <w:tcPr>
            <w:tcW w:w="18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AT THE COMPANY:</w:t>
            </w:r>
          </w:p>
        </w:tc>
        <w:tc>
          <w:tcPr>
            <w:tcW w:w="37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AT THE FINANCIAL RELATIONS BOARD/</w:t>
            </w:r>
          </w:p>
        </w:tc>
      </w:tr>
      <w:tr>
        <w:trPr>
          <w:trHeight w:val="203"/>
        </w:trPr>
        <w:tc>
          <w:tcPr>
            <w:tcW w:w="4600" w:type="dxa"/>
            <w:vAlign w:val="bottom"/>
          </w:tcPr>
          <w:p>
            <w:pPr>
              <w:spacing w:after="0"/>
              <w:rPr>
                <w:sz w:val="17"/>
                <w:szCs w:val="17"/>
                <w:color w:val="auto"/>
              </w:rPr>
            </w:pP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BSMG Worldwide:</w:t>
            </w:r>
          </w:p>
        </w:tc>
        <w:tc>
          <w:tcPr>
            <w:tcW w:w="1900" w:type="dxa"/>
            <w:vAlign w:val="bottom"/>
          </w:tcPr>
          <w:p>
            <w:pPr>
              <w:spacing w:after="0"/>
              <w:rPr>
                <w:sz w:val="17"/>
                <w:szCs w:val="17"/>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Will Kelly</w:t>
            </w:r>
          </w:p>
        </w:tc>
        <w:tc>
          <w:tcPr>
            <w:tcW w:w="37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Kerry Thalheim Susan Garland</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Treasurer &amp; Manager of Investor Relations</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(General info)</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(Analyst)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(423) 743-9151</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212-661-8030</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212-661-8030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July 25, 2001</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NN, INC. REPORTS 2001 SECOND QUARTER RESULTS</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Signs $60 Million Credit Agreement</w:t>
      </w:r>
    </w:p>
    <w:p>
      <w:pPr>
        <w:spacing w:after="0" w:line="207"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Johnson City, Tenn. - July 25, 2001 - NN, Inc. (Nasdaq: NNBR) today reported its financial results for the second quarter ended June 30, 2001. Results for the 2001 second quarter reflect the operations of NN Euroball ApS (Euroball), a stand-alone joint venture company formed on July 31, 2000, the Delta Rubber Company (Delta) acquired on February 16, 2001, as well as the operations of Industrial Molding Corporation (IMC) acquired on July 6, 1999. Both IMC and Delta were acquired in transactions using the purchase method of accounting. The Company also noted that its results for the same period reflect NN's joint venture interests in Jiangsu General Ball &amp; Roller (formed in March 2000) and NN-Arte (a joint venture formed in August 2000).</w:t>
      </w:r>
    </w:p>
    <w:p>
      <w:pPr>
        <w:spacing w:after="0" w:line="18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Net sales for the second quarter of 2001 were $47,350,000 up 85% compared to $25,643,000 for the same period of 2000. Net income of $3,506,000 reflects a $1,602,000 after-tax gain on insurance proceeds from the fire in the NN Erwin, Tennessee facility in March 2000. Excluding this gain, net income totaled $1,904,000, or $0.12 per share, down 15% from $2,242,000, or $0.15 per share for the 2000 second quarter.</w:t>
      </w:r>
    </w:p>
    <w:p>
      <w:pPr>
        <w:spacing w:after="0" w:line="210"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Net sales for the first half of 2001 were $97,577,000, up 82% compared to $53,645,000 in the same period of 2000. Net income of $4,954,000 reflects the aforementioned second quarter 2001 after-tax gain on insurance proceeds from the fire in the NN Erwin, Tennessee facility. Excluding this gain, net income totaled $3,352,000, or $0.22 per share, down from $4,352,000 or $0.28 per share for the 2000 first half.</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Company entered into a new syndicated loan agreement on July 20, 2001 with AmSouth Bank, its primary agent, which provides for a two-year revolving credit facility of up to $25 million and a five-year term loan of $35 million. This $60 million agreement replaces a $50 million revolving credit facility provided by AmSouth Bank. The proceeds from the new loan facility will be used to finance periodic working capital needs and provide long-term financing for the February 16, 2001 acquisition of Delta.</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Company also announced that during the second quarter it determined that the effect of an interest rate swap contract at its NN Euroball ApS subsidiary was not recorded in its first quarter 2001 financial statements as required under Statement of Financial Accounting Standards (SFAS) 133, which was effective for the Company on January 1, 2001. While recording the effect of the interest rate swap will not change the Company's reported basic earnings of $0.10 per share for the first quarter of 2001, net income of $1,562,000 for this period will be reduced by $114,000, which includes a $98,000 cumulative effect of change in accounting principles. The Company will be filing an amended March 31, 2001 Form 10-Q to reflect the adoption of SFAS 133.</w:t>
      </w:r>
    </w:p>
    <w:p>
      <w:pPr>
        <w:spacing w:after="0" w:line="216"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Roderick R. Baty, President and Chief Executive Officer, stated, "Our top line growth in the second quarter of 2001 is the result of the revenue contribution from Euroball and Delta Rubber, totaling $22.5 million and $4.5 million, respectively. This was offset somewhat by the adverse economic conditions in our North American markets. While our European markets experienced modest revenue growth year over year, our domestic businesses were down an average of 11%. In light of the current economic situation, we are focusing on cost reduction programs including reduced work schedules at all three of our domestic operations.</w:t>
      </w:r>
    </w:p>
    <w:p>
      <w:pPr>
        <w:sectPr>
          <w:pgSz w:w="11900" w:h="16838" w:orient="portrait"/>
          <w:cols w:equalWidth="0" w:num="1">
            <w:col w:w="10219"/>
          </w:cols>
          <w:pgMar w:left="240" w:top="136" w:right="1440" w:bottom="0" w:gutter="0" w:footer="0" w:header="0"/>
        </w:sectPr>
      </w:pPr>
    </w:p>
    <w:bookmarkStart w:id="3" w:name="page4"/>
    <w:bookmarkEnd w:id="3"/>
    <w:p>
      <w:pPr>
        <w:ind w:right="2099"/>
        <w:spacing w:after="0" w:line="237" w:lineRule="auto"/>
        <w:rPr>
          <w:sz w:val="20"/>
          <w:szCs w:val="20"/>
          <w:color w:val="auto"/>
        </w:rPr>
      </w:pPr>
      <w:r>
        <w:rPr>
          <w:rFonts w:ascii="Courier New" w:cs="Courier New" w:eastAsia="Courier New" w:hAnsi="Courier New"/>
          <w:sz w:val="18"/>
          <w:szCs w:val="18"/>
          <w:color w:val="auto"/>
        </w:rPr>
        <w:t>"As a percentage of net sales, the gross profit margin was 25.3% in the 2001 second quarter versus 29.9% in the 2000 second quarter. This reflects inventory reductions at our domestic ball &amp; roller facilities as well as volume related margin decline due to soft economic conditions. Selling, general and administrative expense as a percentage of sales was 8.1% compared to 9.6% in the prior year's second quarter," added Mr. Baty</w:t>
      </w:r>
    </w:p>
    <w:p>
      <w:pPr>
        <w:spacing w:after="0" w:line="210"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"We have been through down cycles in the past and our overall objective is to manage our business prudently through this difficult operating environment. Toward that end, we are focusing on cost reduction programs, working capital management, reduction in non-critical capital spending, and debt reduction. In particular, our strong cash flows and our new acquisitions are enabling us to pay down debt. Since the beginning of the year, we have reduced long-term debt approximately $7.7 million excluding the financing for the acquisition of Delta Rubber and the effect of currency. In short, we are on target with our objective of reducing the Company's long-term debt by at least $12 million during 2001. We also continue to focus on the further integration of all our business units and efforts to maximize the value of NN's broader product offerings to our customers," added Mr. Baty.</w:t>
      </w:r>
    </w:p>
    <w:p>
      <w:pPr>
        <w:spacing w:after="0" w:line="391" w:lineRule="exact"/>
        <w:rPr>
          <w:sz w:val="20"/>
          <w:szCs w:val="20"/>
          <w:color w:val="auto"/>
        </w:rPr>
      </w:pPr>
    </w:p>
    <w:p>
      <w:pPr>
        <w:ind w:right="2099" w:firstLine="105"/>
        <w:spacing w:after="0" w:line="238" w:lineRule="auto"/>
        <w:rPr>
          <w:sz w:val="20"/>
          <w:szCs w:val="20"/>
          <w:color w:val="auto"/>
        </w:rPr>
      </w:pPr>
      <w:r>
        <w:rPr>
          <w:rFonts w:ascii="Courier New" w:cs="Courier New" w:eastAsia="Courier New" w:hAnsi="Courier New"/>
          <w:sz w:val="18"/>
          <w:szCs w:val="18"/>
          <w:color w:val="auto"/>
        </w:rPr>
        <w:t>"At this time, the resumption of growth in the U.S. economy continues to be very difficult to predict and we are concerned about signs of reduced industrial activity in Europe. If business conditions do not worsen further, we expect that sales for the full year 2001 should reach approximately $190 million, down from our revised estimate of $200 million. This volume level reflects a full year contribution from Euroball, the addition of Delta Rubber, modest sales from NN-Arte and market share gains/new product programs in our core domestic operations partially offsetting our weak domestic markets. At these sales levels, the Company is now projecting third quarter earnings to be between $0.13 and $0.14 per share and 2001 full year earnings to be between $0.51 per share to $0.53 per share excluding any gains resulting from insurance proceeds from the March 2000 fire at the Company's Erwin, Tennessee facility.</w:t>
      </w:r>
    </w:p>
    <w:p>
      <w:pPr>
        <w:spacing w:after="0" w:line="207" w:lineRule="exact"/>
        <w:rPr>
          <w:sz w:val="20"/>
          <w:szCs w:val="20"/>
          <w:color w:val="auto"/>
        </w:rPr>
      </w:pPr>
    </w:p>
    <w:p>
      <w:pPr>
        <w:ind w:right="2199" w:firstLine="105"/>
        <w:spacing w:after="0" w:line="237" w:lineRule="auto"/>
        <w:rPr>
          <w:sz w:val="20"/>
          <w:szCs w:val="20"/>
          <w:color w:val="auto"/>
        </w:rPr>
      </w:pPr>
      <w:r>
        <w:rPr>
          <w:rFonts w:ascii="Courier New" w:cs="Courier New" w:eastAsia="Courier New" w:hAnsi="Courier New"/>
          <w:sz w:val="18"/>
          <w:szCs w:val="18"/>
          <w:color w:val="auto"/>
        </w:rPr>
        <w:t>"We believe that NN enjoys a number of fundamental strengths that will enable us to withstand the current downturn as well as continue to grow when business conditions improve. These strengths include our strong cash flow and our market share position within the bearing industry. Specifically, NN has worked diligently over the past two years to implement its strategic growth</w:t>
      </w:r>
    </w:p>
    <w:p>
      <w:pPr>
        <w:sectPr>
          <w:pgSz w:w="11900" w:h="16838" w:orient="portrait"/>
          <w:cols w:equalWidth="0" w:num="1">
            <w:col w:w="10219"/>
          </w:cols>
          <w:pgMar w:left="240" w:top="344" w:right="1440" w:bottom="1440" w:gutter="0" w:footer="0" w:header="0"/>
        </w:sectPr>
      </w:pPr>
    </w:p>
    <w:bookmarkStart w:id="4" w:name="page5"/>
    <w:bookmarkEnd w:id="4"/>
    <w:p>
      <w:pPr>
        <w:ind w:right="1779"/>
        <w:spacing w:after="0" w:line="236" w:lineRule="auto"/>
        <w:rPr>
          <w:sz w:val="20"/>
          <w:szCs w:val="20"/>
          <w:color w:val="auto"/>
        </w:rPr>
      </w:pPr>
      <w:r>
        <w:rPr>
          <w:rFonts w:ascii="Courier New" w:cs="Courier New" w:eastAsia="Courier New" w:hAnsi="Courier New"/>
          <w:sz w:val="18"/>
          <w:szCs w:val="18"/>
          <w:color w:val="auto"/>
        </w:rPr>
        <w:t>plan, enabling us to expand our global manufacturing base beyond North America and expand our bearing component platform. In summary, we are well positioned as a key component supplier to our global customers," concluded Mr. Baty.</w:t>
      </w: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NN, Inc. is an independent manufacturer and supplier of high quality, precision-bearing components to both domestic and international anti-friction bearing manufacturers and had sales of $132 million in 2000.</w:t>
      </w:r>
    </w:p>
    <w:p>
      <w:pPr>
        <w:spacing w:after="0" w:line="20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For More Information on NN, Inc. at no cost, via facsimile,</w:t>
      </w:r>
    </w:p>
    <w:p>
      <w:pPr>
        <w:jc w:val="center"/>
        <w:ind w:right="2099"/>
        <w:spacing w:after="0" w:line="238" w:lineRule="auto"/>
        <w:rPr>
          <w:sz w:val="20"/>
          <w:szCs w:val="20"/>
          <w:color w:val="auto"/>
        </w:rPr>
      </w:pPr>
      <w:r>
        <w:rPr>
          <w:rFonts w:ascii="Courier New" w:cs="Courier New" w:eastAsia="Courier New" w:hAnsi="Courier New"/>
          <w:sz w:val="18"/>
          <w:szCs w:val="18"/>
          <w:color w:val="auto"/>
        </w:rPr>
        <w:t>please call 1-800-PRO-INFO and enter stock ticker symbol - NNBR</w:t>
      </w:r>
    </w:p>
    <w:p>
      <w:pPr>
        <w:spacing w:after="0" w:line="207"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With the exception of the historical information contained in the release, the matters described herein contain forward-looking statements that are made pursuant to the safe harbor provisions of the Private Securities Litigation Reform Act of 1995. Forward-looking statements involve a number of risks and uncertainties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2000.</w:t>
      </w:r>
    </w:p>
    <w:p>
      <w:pPr>
        <w:spacing w:after="0" w:line="38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(Financial Tables Follow)</w:t>
      </w:r>
    </w:p>
    <w:p>
      <w:pPr>
        <w:sectPr>
          <w:pgSz w:w="11900" w:h="16838" w:orient="portrait"/>
          <w:cols w:equalWidth="0" w:num="1">
            <w:col w:w="10219"/>
          </w:cols>
          <w:pgMar w:left="240" w:top="723" w:right="1440" w:bottom="1440" w:gutter="0" w:footer="0" w:header="0"/>
        </w:sectPr>
      </w:pPr>
    </w:p>
    <w:bookmarkStart w:id="5" w:name="page6"/>
    <w:bookmarkEnd w:id="5"/>
    <w:p>
      <w:pPr>
        <w:jc w:val="center"/>
        <w:ind w:right="1559"/>
        <w:spacing w:after="0"/>
        <w:rPr>
          <w:sz w:val="20"/>
          <w:szCs w:val="20"/>
          <w:color w:val="auto"/>
        </w:rPr>
      </w:pPr>
      <w:r>
        <w:rPr>
          <w:rFonts w:ascii="Courier New" w:cs="Courier New" w:eastAsia="Courier New" w:hAnsi="Courier New"/>
          <w:sz w:val="18"/>
          <w:szCs w:val="18"/>
          <w:color w:val="auto"/>
        </w:rPr>
        <w:t>NN, Inc.</w:t>
      </w:r>
    </w:p>
    <w:p>
      <w:pPr>
        <w:ind w:left="2640"/>
        <w:spacing w:after="0" w:line="238" w:lineRule="auto"/>
        <w:rPr>
          <w:sz w:val="20"/>
          <w:szCs w:val="20"/>
          <w:color w:val="auto"/>
        </w:rPr>
      </w:pPr>
      <w:r>
        <w:rPr>
          <w:rFonts w:ascii="Courier New" w:cs="Courier New" w:eastAsia="Courier New" w:hAnsi="Courier New"/>
          <w:sz w:val="18"/>
          <w:szCs w:val="18"/>
          <w:color w:val="auto"/>
        </w:rPr>
        <w:t>Condensed Statement of Operations</w:t>
      </w:r>
    </w:p>
    <w:p>
      <w:pPr>
        <w:ind w:left="2220"/>
        <w:spacing w:after="0"/>
        <w:rPr>
          <w:sz w:val="20"/>
          <w:szCs w:val="20"/>
          <w:color w:val="auto"/>
        </w:rPr>
      </w:pPr>
      <w:r>
        <w:rPr>
          <w:rFonts w:ascii="Courier New" w:cs="Courier New" w:eastAsia="Courier New" w:hAnsi="Courier New"/>
          <w:sz w:val="18"/>
          <w:szCs w:val="18"/>
          <w:color w:val="auto"/>
        </w:rPr>
        <w:t>(In thousands, except per share amounts)</w:t>
      </w:r>
    </w:p>
    <w:tbl>
      <w:tblPr>
        <w:tblLayout w:type="fixed"/>
        <w:tblInd w:w="0" w:type="dxa"/>
        <w:tblCellMar>
          <w:top w:w="0" w:type="dxa"/>
          <w:left w:w="0" w:type="dxa"/>
          <w:bottom w:w="0" w:type="dxa"/>
          <w:right w:w="0" w:type="dxa"/>
        </w:tblCellMar>
      </w:tblPr>
      <w:tr>
        <w:trPr>
          <w:trHeight w:val="202"/>
        </w:trPr>
        <w:tc>
          <w:tcPr>
            <w:tcW w:w="3740" w:type="dxa"/>
            <w:vAlign w:val="bottom"/>
          </w:tcPr>
          <w:p>
            <w:pPr>
              <w:spacing w:after="0"/>
              <w:rPr>
                <w:sz w:val="17"/>
                <w:szCs w:val="17"/>
                <w:color w:val="auto"/>
              </w:rPr>
            </w:pPr>
          </w:p>
        </w:tc>
        <w:tc>
          <w:tcPr>
            <w:tcW w:w="164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(Unaudited)</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3740" w:type="dxa"/>
            <w:vAlign w:val="bottom"/>
          </w:tcPr>
          <w:p>
            <w:pPr>
              <w:spacing w:after="0"/>
              <w:rPr>
                <w:sz w:val="24"/>
                <w:szCs w:val="24"/>
                <w:color w:val="auto"/>
              </w:rPr>
            </w:pPr>
          </w:p>
        </w:tc>
        <w:tc>
          <w:tcPr>
            <w:tcW w:w="28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Three Months</w:t>
            </w:r>
          </w:p>
        </w:tc>
        <w:tc>
          <w:tcPr>
            <w:tcW w:w="22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(As Restated)</w:t>
            </w:r>
          </w:p>
        </w:tc>
      </w:tr>
      <w:tr>
        <w:trPr>
          <w:trHeight w:val="203"/>
        </w:trPr>
        <w:tc>
          <w:tcPr>
            <w:tcW w:w="3740" w:type="dxa"/>
            <w:vAlign w:val="bottom"/>
          </w:tcPr>
          <w:p>
            <w:pPr>
              <w:spacing w:after="0"/>
              <w:rPr>
                <w:sz w:val="17"/>
                <w:szCs w:val="17"/>
                <w:color w:val="auto"/>
              </w:rPr>
            </w:pPr>
          </w:p>
        </w:tc>
        <w:tc>
          <w:tcPr>
            <w:tcW w:w="280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Ended</w:t>
            </w:r>
          </w:p>
        </w:tc>
        <w:tc>
          <w:tcPr>
            <w:tcW w:w="2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Six Months Ended</w:t>
            </w:r>
          </w:p>
        </w:tc>
      </w:tr>
      <w:tr>
        <w:trPr>
          <w:trHeight w:val="203"/>
        </w:trPr>
        <w:tc>
          <w:tcPr>
            <w:tcW w:w="3740" w:type="dxa"/>
            <w:vAlign w:val="bottom"/>
          </w:tcPr>
          <w:p>
            <w:pPr>
              <w:spacing w:after="0"/>
              <w:rPr>
                <w:sz w:val="17"/>
                <w:szCs w:val="17"/>
                <w:color w:val="auto"/>
              </w:rPr>
            </w:pPr>
          </w:p>
        </w:tc>
        <w:tc>
          <w:tcPr>
            <w:tcW w:w="28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June 30,</w:t>
            </w:r>
          </w:p>
        </w:tc>
        <w:tc>
          <w:tcPr>
            <w:tcW w:w="22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374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2001</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2000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2001</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3740" w:type="dxa"/>
            <w:vAlign w:val="bottom"/>
          </w:tcPr>
          <w:p>
            <w:pPr>
              <w:spacing w:after="0"/>
              <w:rPr>
                <w:sz w:val="17"/>
                <w:szCs w:val="17"/>
                <w:color w:val="auto"/>
              </w:rPr>
            </w:pP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$47,350</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$25,643</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$97,577</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$53,645</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35,320</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17,965</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73,504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38,311</w:t>
            </w:r>
          </w:p>
        </w:tc>
      </w:tr>
      <w:tr>
        <w:trPr>
          <w:trHeight w:val="203"/>
        </w:trPr>
        <w:tc>
          <w:tcPr>
            <w:tcW w:w="3740" w:type="dxa"/>
            <w:vAlign w:val="bottom"/>
          </w:tcPr>
          <w:p>
            <w:pPr>
              <w:spacing w:after="0"/>
              <w:rPr>
                <w:sz w:val="17"/>
                <w:szCs w:val="17"/>
                <w:color w:val="auto"/>
              </w:rPr>
            </w:pP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Gross profit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12,030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7,678</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24,073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15,334</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w w:val="98"/>
              </w:rPr>
              <w:t>Selling, general and administration</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3,886</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6"/>
              </w:rPr>
              <w:t>2,463</w:t>
            </w:r>
          </w:p>
        </w:tc>
        <w:tc>
          <w:tcPr>
            <w:tcW w:w="11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6"/>
              </w:rPr>
              <w:t>7,900</w:t>
            </w:r>
          </w:p>
        </w:tc>
        <w:tc>
          <w:tcPr>
            <w:tcW w:w="106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6"/>
              </w:rPr>
              <w:t>4,781</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3,386</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1,723</w:t>
            </w:r>
          </w:p>
        </w:tc>
        <w:tc>
          <w:tcPr>
            <w:tcW w:w="11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6"/>
              </w:rPr>
              <w:t>6,696</w:t>
            </w:r>
          </w:p>
        </w:tc>
        <w:tc>
          <w:tcPr>
            <w:tcW w:w="10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3,568</w:t>
            </w:r>
          </w:p>
        </w:tc>
      </w:tr>
      <w:tr>
        <w:trPr>
          <w:trHeight w:val="203"/>
        </w:trPr>
        <w:tc>
          <w:tcPr>
            <w:tcW w:w="3740" w:type="dxa"/>
            <w:vAlign w:val="bottom"/>
          </w:tcPr>
          <w:p>
            <w:pPr>
              <w:spacing w:after="0"/>
              <w:rPr>
                <w:sz w:val="17"/>
                <w:szCs w:val="17"/>
                <w:color w:val="auto"/>
              </w:rPr>
            </w:pP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4,758</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3,492</w:t>
            </w:r>
          </w:p>
        </w:tc>
        <w:tc>
          <w:tcPr>
            <w:tcW w:w="11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6"/>
              </w:rPr>
              <w:t>9,477</w:t>
            </w:r>
          </w:p>
        </w:tc>
        <w:tc>
          <w:tcPr>
            <w:tcW w:w="10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6,985</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Interest expense, net</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1,043</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268</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2,273</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559</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in earnings of</w:t>
            </w: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unconsolidated affiliate</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Net gain on involuntary conversion</w:t>
            </w: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(2,542)</w:t>
            </w:r>
          </w:p>
        </w:tc>
        <w:tc>
          <w:tcPr>
            <w:tcW w:w="1160" w:type="dxa"/>
            <w:vAlign w:val="bottom"/>
          </w:tcPr>
          <w:p>
            <w:pPr>
              <w:jc w:val="center"/>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(2,542)</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(25)</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(275)</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(455)</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rPr>
                <w:sz w:val="17"/>
                <w:szCs w:val="17"/>
                <w:color w:val="auto"/>
              </w:rPr>
            </w:pP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provision for income</w:t>
            </w: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6,509</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3,277</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10,227</w:t>
            </w:r>
          </w:p>
        </w:tc>
        <w:tc>
          <w:tcPr>
            <w:tcW w:w="10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6,467</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2,437</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1,035</w:t>
            </w:r>
          </w:p>
        </w:tc>
        <w:tc>
          <w:tcPr>
            <w:tcW w:w="11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6"/>
              </w:rPr>
              <w:t>4,073</w:t>
            </w:r>
          </w:p>
        </w:tc>
        <w:tc>
          <w:tcPr>
            <w:tcW w:w="10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2,115</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Minority interest in consolidated</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subsidiary</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566</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6"/>
              </w:rPr>
              <w:t>1,102</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rPr>
                <w:sz w:val="17"/>
                <w:szCs w:val="17"/>
                <w:color w:val="auto"/>
              </w:rPr>
            </w:pP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cumulative effect of</w:t>
            </w: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accounting principle</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3,506</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2,242</w:t>
            </w:r>
          </w:p>
        </w:tc>
        <w:tc>
          <w:tcPr>
            <w:tcW w:w="11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6"/>
              </w:rPr>
              <w:t>5,052</w:t>
            </w:r>
          </w:p>
        </w:tc>
        <w:tc>
          <w:tcPr>
            <w:tcW w:w="10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4,352</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change in</w:t>
            </w: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accounting principle, net of income tax</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benefit of $112</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rPr>
                <w:sz w:val="17"/>
                <w:szCs w:val="17"/>
                <w:color w:val="auto"/>
              </w:rPr>
            </w:pP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$3,506</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$2,242</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$4,954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$4,352</w:t>
            </w:r>
          </w:p>
        </w:tc>
      </w:tr>
      <w:tr>
        <w:trPr>
          <w:trHeight w:val="203"/>
        </w:trPr>
        <w:tc>
          <w:tcPr>
            <w:tcW w:w="3740" w:type="dxa"/>
            <w:vAlign w:val="bottom"/>
          </w:tcPr>
          <w:p>
            <w:pPr>
              <w:spacing w:after="0"/>
              <w:rPr>
                <w:sz w:val="17"/>
                <w:szCs w:val="17"/>
                <w:color w:val="auto"/>
              </w:rPr>
            </w:pP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per common share</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$0.23</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$0.15</w:t>
            </w:r>
          </w:p>
        </w:tc>
        <w:tc>
          <w:tcPr>
            <w:tcW w:w="11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6"/>
              </w:rPr>
              <w:t>$0.32</w:t>
            </w:r>
          </w:p>
        </w:tc>
        <w:tc>
          <w:tcPr>
            <w:tcW w:w="10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$0.28</w:t>
            </w:r>
          </w:p>
        </w:tc>
      </w:tr>
      <w:tr>
        <w:trPr>
          <w:trHeight w:val="203"/>
        </w:trPr>
        <w:tc>
          <w:tcPr>
            <w:tcW w:w="3740" w:type="dxa"/>
            <w:vAlign w:val="bottom"/>
          </w:tcPr>
          <w:p>
            <w:pPr>
              <w:spacing w:after="0"/>
              <w:rPr>
                <w:sz w:val="17"/>
                <w:szCs w:val="17"/>
                <w:color w:val="auto"/>
              </w:rPr>
            </w:pP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1122" w:right="1440" w:bottom="1440" w:gutter="0" w:footer="0" w:header="0"/>
        </w:sectPr>
      </w:pPr>
    </w:p>
    <w:bookmarkStart w:id="6" w:name="page7"/>
    <w:bookmarkEnd w:id="6"/>
    <w:p>
      <w:pPr>
        <w:ind w:left="3340"/>
        <w:spacing w:after="0"/>
        <w:rPr>
          <w:sz w:val="20"/>
          <w:szCs w:val="20"/>
          <w:color w:val="auto"/>
        </w:rPr>
      </w:pPr>
      <w:r>
        <w:rPr>
          <w:rFonts w:ascii="Courier New" w:cs="Courier New" w:eastAsia="Courier New" w:hAnsi="Courier New"/>
          <w:sz w:val="18"/>
          <w:szCs w:val="18"/>
          <w:color w:val="auto"/>
        </w:rPr>
        <w:t>NN, Inc.</w:t>
      </w:r>
    </w:p>
    <w:p>
      <w:pPr>
        <w:ind w:left="2920"/>
        <w:spacing w:after="0" w:line="238" w:lineRule="auto"/>
        <w:rPr>
          <w:sz w:val="20"/>
          <w:szCs w:val="20"/>
          <w:color w:val="auto"/>
        </w:rPr>
      </w:pPr>
      <w:r>
        <w:rPr>
          <w:rFonts w:ascii="Courier New" w:cs="Courier New" w:eastAsia="Courier New" w:hAnsi="Courier New"/>
          <w:sz w:val="18"/>
          <w:szCs w:val="18"/>
          <w:color w:val="auto"/>
        </w:rPr>
        <w:t>Condensed Balance</w:t>
      </w:r>
    </w:p>
    <w:p>
      <w:pPr>
        <w:ind w:left="3540"/>
        <w:spacing w:after="0"/>
        <w:rPr>
          <w:sz w:val="20"/>
          <w:szCs w:val="20"/>
          <w:color w:val="auto"/>
        </w:rPr>
      </w:pPr>
      <w:r>
        <w:rPr>
          <w:rFonts w:ascii="Courier New" w:cs="Courier New" w:eastAsia="Courier New" w:hAnsi="Courier New"/>
          <w:sz w:val="18"/>
          <w:szCs w:val="18"/>
          <w:color w:val="auto"/>
        </w:rPr>
        <w:t>Sheet</w:t>
      </w:r>
    </w:p>
    <w:tbl>
      <w:tblPr>
        <w:tblLayout w:type="fixed"/>
        <w:tblInd w:w="180" w:type="dxa"/>
        <w:tblCellMar>
          <w:top w:w="0" w:type="dxa"/>
          <w:left w:w="0" w:type="dxa"/>
          <w:bottom w:w="0" w:type="dxa"/>
          <w:right w:w="0" w:type="dxa"/>
        </w:tblCellMar>
      </w:tblPr>
      <w:tr>
        <w:trPr>
          <w:trHeight w:val="202"/>
        </w:trPr>
        <w:tc>
          <w:tcPr>
            <w:tcW w:w="4320" w:type="dxa"/>
            <w:vAlign w:val="bottom"/>
          </w:tcPr>
          <w:p>
            <w:pPr>
              <w:ind w:left="2840"/>
              <w:spacing w:after="0" w:line="202" w:lineRule="exact"/>
              <w:rPr>
                <w:sz w:val="20"/>
                <w:szCs w:val="20"/>
                <w:color w:val="auto"/>
              </w:rPr>
            </w:pPr>
            <w:r>
              <w:rPr>
                <w:rFonts w:ascii="Courier New" w:cs="Courier New" w:eastAsia="Courier New" w:hAnsi="Courier New"/>
                <w:sz w:val="18"/>
                <w:szCs w:val="18"/>
                <w:color w:val="auto"/>
                <w:w w:val="96"/>
              </w:rPr>
              <w:t>(In thousands)</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4320" w:type="dxa"/>
            <w:vAlign w:val="bottom"/>
          </w:tcPr>
          <w:p>
            <w:pPr>
              <w:spacing w:after="0"/>
              <w:rPr>
                <w:sz w:val="24"/>
                <w:szCs w:val="24"/>
                <w:color w:val="auto"/>
              </w:rPr>
            </w:pP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June 30,</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December</w:t>
            </w:r>
          </w:p>
        </w:tc>
      </w:tr>
      <w:tr>
        <w:trPr>
          <w:trHeight w:val="203"/>
        </w:trPr>
        <w:tc>
          <w:tcPr>
            <w:tcW w:w="4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4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2001</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3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1380" w:type="dxa"/>
            <w:vAlign w:val="bottom"/>
          </w:tcPr>
          <w:p>
            <w:pPr>
              <w:spacing w:after="0"/>
              <w:rPr>
                <w:sz w:val="17"/>
                <w:szCs w:val="17"/>
                <w:color w:val="auto"/>
              </w:rPr>
            </w:pPr>
          </w:p>
        </w:tc>
      </w:tr>
      <w:tr>
        <w:trPr>
          <w:trHeight w:val="203"/>
        </w:trPr>
        <w:tc>
          <w:tcPr>
            <w:tcW w:w="43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$6,629</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$8,273</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34,334</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29,549</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 net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23,523</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23,742</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3,475</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1,512</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current deferred tax asset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104</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962</w:t>
            </w:r>
          </w:p>
        </w:tc>
      </w:tr>
      <w:tr>
        <w:trPr>
          <w:trHeight w:val="203"/>
        </w:trPr>
        <w:tc>
          <w:tcPr>
            <w:tcW w:w="43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68,065</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64,038</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Property, plant &amp; equipment, net</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87,057</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91,693</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38,815</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27,865</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assets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7,627</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4,212</w:t>
            </w:r>
          </w:p>
        </w:tc>
      </w:tr>
      <w:tr>
        <w:trPr>
          <w:trHeight w:val="203"/>
        </w:trPr>
        <w:tc>
          <w:tcPr>
            <w:tcW w:w="43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Total assets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$201,564</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$187,808</w:t>
            </w:r>
          </w:p>
        </w:tc>
      </w:tr>
      <w:tr>
        <w:trPr>
          <w:trHeight w:val="203"/>
        </w:trPr>
        <w:tc>
          <w:tcPr>
            <w:tcW w:w="43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$16,790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$17,337</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salaries &amp; wages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5,504</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6,929</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3,057</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1,341</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to affiliates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2,739</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1,762</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notes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portion of long-term notes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5,250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10,694</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6,490</w:t>
            </w:r>
          </w:p>
        </w:tc>
      </w:tr>
      <w:tr>
        <w:trPr>
          <w:trHeight w:val="203"/>
        </w:trPr>
        <w:tc>
          <w:tcPr>
            <w:tcW w:w="43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44,034</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35,859</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Minority interest in consolidated</w:t>
            </w: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subsidiaries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28,095</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30,257</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4,388</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5,353</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notes payable</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59,592</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50,515</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775</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578</w:t>
            </w:r>
          </w:p>
        </w:tc>
      </w:tr>
      <w:tr>
        <w:trPr>
          <w:trHeight w:val="203"/>
        </w:trPr>
        <w:tc>
          <w:tcPr>
            <w:tcW w:w="43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136,884</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122,562</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64,680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65,246</w:t>
            </w:r>
          </w:p>
        </w:tc>
      </w:tr>
      <w:tr>
        <w:trPr>
          <w:trHeight w:val="203"/>
        </w:trPr>
        <w:tc>
          <w:tcPr>
            <w:tcW w:w="43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Total liabilities and stockholders'</w:t>
            </w: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equity</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$201,564</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$187,808</w:t>
            </w:r>
          </w:p>
        </w:tc>
      </w:tr>
      <w:tr>
        <w:trPr>
          <w:trHeight w:val="203"/>
        </w:trPr>
        <w:tc>
          <w:tcPr>
            <w:tcW w:w="43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9019"/>
      </w:cols>
      <w:pgMar w:left="14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2019-12-14T02:35:46Z</dcterms:created>
  <dcterms:modified xsi:type="dcterms:W3CDTF">2019-12-14T02:35:46Z</dcterms:modified>
</cp:coreProperties>
</file>