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6.4.0 -->
  <w:body>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120" w:after="0" w:line="288" w:lineRule="auto"/>
        <w:ind w:left="0" w:right="0" w:firstLine="0"/>
        <w:jc w:val="center"/>
        <w:outlineLvl w:val="0"/>
        <w:rPr>
          <w:rFonts w:ascii="Times New Roman" w:eastAsia="Times New Roman" w:hAnsi="Times New Roman" w:cs="Times New Roman"/>
          <w:b/>
          <w:i w:val="0"/>
          <w:sz w:val="32"/>
        </w:rPr>
      </w:pPr>
      <w:r>
        <w:rPr>
          <w:rFonts w:ascii="Times New Roman" w:eastAsia="Times New Roman" w:hAnsi="Times New Roman" w:cs="Times New Roman"/>
          <w:b/>
          <w:i w:val="0"/>
          <w:sz w:val="32"/>
        </w:rPr>
        <w:t>UNITED STATES</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SECURITIES AND EXCHANGE COMMISSION</w:t>
      </w:r>
    </w:p>
    <w:p>
      <w:pPr>
        <w:keepNext w:val="0"/>
        <w:keepLines w:val="0"/>
        <w:pageBreakBefore w:val="0"/>
        <w:widowControl/>
        <w:numPr>
          <w:ilvl w:val="0"/>
          <w:numId w:val="0"/>
        </w:numPr>
        <w:spacing w:before="0" w:after="10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Washington, D.C. 20549</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rPr>
          <w:rFonts w:ascii="Times New Roman" w:eastAsia="Times New Roman" w:hAnsi="Times New Roman" w:cs="Times New Roman"/>
          <w:b/>
          <w:i w:val="0"/>
          <w:sz w:val="32"/>
        </w:rPr>
        <w:t xml:space="preserve">FORM </w:t>
      </w:r>
      <w:r>
        <w:rPr>
          <w:rFonts w:ascii="Times New Roman" w:eastAsia="Times New Roman" w:hAnsi="Times New Roman" w:cs="Times New Roman"/>
          <w:b/>
          <w:i w:val="0"/>
          <w:color w:val="000000"/>
          <w:sz w:val="32"/>
          <w:u w:val="none"/>
        </w:rPr>
        <w:t>8-K</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2"/>
        </w:rPr>
      </w:pPr>
      <w:r>
        <w:rPr>
          <w:rFonts w:ascii="Times New Roman" w:eastAsia="Times New Roman" w:hAnsi="Times New Roman" w:cs="Times New Roman"/>
          <w:b/>
          <w:i w:val="0"/>
          <w:sz w:val="32"/>
        </w:rPr>
        <w:t>CURRENT REPORT</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Pursuant to Section 13 OR 15(d) of The Securities Exchange Act of 1934 </w:t>
      </w:r>
    </w:p>
    <w:p>
      <w:pPr>
        <w:keepNext w:val="0"/>
        <w:keepLines w:val="0"/>
        <w:pageBreakBefore w:val="0"/>
        <w:widowControl/>
        <w:numPr>
          <w:ilvl w:val="0"/>
          <w:numId w:val="0"/>
        </w:numPr>
        <w:tabs>
          <w:tab w:val="left" w:pos="9980"/>
          <w:tab w:val="left" w:pos="10080"/>
          <w:tab w:val="left" w:pos="10800"/>
          <w:tab w:val="left" w:pos="11520"/>
        </w:tabs>
        <w:spacing w:before="120" w:after="60" w:line="240" w:lineRule="auto"/>
        <w:ind w:left="0" w:right="0" w:firstLine="0"/>
        <w:jc w:val="center"/>
        <w:outlineLvl w:val="9"/>
        <w:rPr>
          <w:rFonts w:ascii="Times New Roman" w:eastAsia="Times New Roman" w:hAnsi="Times New Roman" w:cs="Times New Roman"/>
          <w:b/>
          <w:i w:val="0"/>
          <w:sz w:val="22"/>
        </w:rPr>
      </w:pPr>
      <w:r>
        <w:rPr>
          <w:rFonts w:ascii="Times New Roman" w:eastAsia="Times New Roman" w:hAnsi="Times New Roman" w:cs="Times New Roman"/>
          <w:b/>
          <w:i w:val="0"/>
          <w:sz w:val="22"/>
        </w:rPr>
        <w:t xml:space="preserve">Date of Report (Date of earliest event reported):  </w:t>
      </w:r>
      <w:r>
        <w:rPr>
          <w:rFonts w:ascii="Times New Roman" w:eastAsia="Times New Roman" w:hAnsi="Times New Roman" w:cs="Times New Roman"/>
          <w:b/>
          <w:i w:val="0"/>
          <w:color w:val="000000"/>
          <w:sz w:val="22"/>
          <w:u w:val="none"/>
        </w:rPr>
        <w:t>September 22, 2026</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8pt;height:48.5pt">
            <v:imagedata r:id="rId4" o:title=""/>
            <o:lock v:ext="edit" aspectratio="t"/>
          </v:shape>
        </w:pic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36"/>
        </w:rPr>
      </w:pPr>
      <w:r>
        <w:rPr>
          <w:rFonts w:ascii="Times New Roman" w:eastAsia="Times New Roman" w:hAnsi="Times New Roman" w:cs="Times New Roman"/>
          <w:b/>
          <w:i w:val="0"/>
          <w:color w:val="000000"/>
          <w:sz w:val="36"/>
          <w:u w:val="none"/>
        </w:rPr>
        <w:t>NN, Inc.</w:t>
      </w: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sz w:val="18"/>
        </w:rPr>
        <w:t>(Exact name of registrant as specified in its charter)</w:t>
      </w:r>
    </w:p>
    <w:tbl>
      <w:tblPr>
        <w:tblW w:w="4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545"/>
      </w:tblGrid>
      <w:tr>
        <w:tblPrEx>
          <w:tblW w:w="4545" w:type="dxa"/>
          <w:tblLayout w:type="fixed"/>
        </w:tblPrEx>
        <w:trPr>
          <w:cantSplit/>
          <w:trHeight w:hRule="exact" w:val="75"/>
        </w:trPr>
        <w:tc>
          <w:tcPr>
            <w:tcW w:w="4545" w:type="dxa"/>
            <w:tcBorders>
              <w:top w:val="nil"/>
              <w:left w:val="nil"/>
              <w:bottom w:val="single" w:sz="8" w:space="0" w:color="000000"/>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3000"/>
        <w:gridCol w:w="3000"/>
      </w:tblGrid>
      <w:tr>
        <w:tblPrEx>
          <w:tblW w:w="9000" w:type="dxa"/>
          <w:tblLayout w:type="fixed"/>
        </w:tblPrEx>
        <w:trPr>
          <w:cantSplit/>
          <w:trHeight w:hRule="exact" w:val="285"/>
        </w:trPr>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Delaware</w:t>
            </w: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001-39268</w:t>
            </w:r>
          </w:p>
        </w:tc>
        <w:tc>
          <w:tcPr>
            <w:tcW w:w="3000"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62-1096725</w:t>
            </w:r>
          </w:p>
        </w:tc>
      </w:tr>
      <w:tr>
        <w:tblPrEx>
          <w:tblW w:w="9000" w:type="dxa"/>
          <w:tblLayout w:type="fixed"/>
        </w:tblPrEx>
        <w:trPr>
          <w:cantSplit/>
          <w:trHeight w:hRule="exact" w:val="465"/>
        </w:trPr>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(State or other jurisdiction of</w:t>
            </w:r>
          </w:p>
          <w:p>
            <w:pPr>
              <w:spacing w:after="30" w:line="240" w:lineRule="auto"/>
              <w:jc w:val="center"/>
            </w:pPr>
            <w:r>
              <w:rPr>
                <w:rFonts w:ascii="Times New Roman" w:eastAsia="Times New Roman" w:hAnsi="Times New Roman" w:cs="Times New Roman"/>
                <w:b w:val="0"/>
                <w:i/>
                <w:color w:val="000000"/>
                <w:sz w:val="18"/>
                <w:u w:val="none"/>
              </w:rPr>
              <w:t>incorporation)</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center"/>
            </w:pPr>
            <w:r>
              <w:rPr>
                <w:rFonts w:ascii="Times New Roman" w:eastAsia="Times New Roman" w:hAnsi="Times New Roman" w:cs="Times New Roman"/>
                <w:b w:val="0"/>
                <w:i/>
                <w:color w:val="000000"/>
                <w:sz w:val="18"/>
                <w:u w:val="none"/>
              </w:rPr>
              <w:t>(Commission File Number)</w:t>
            </w:r>
          </w:p>
        </w:tc>
        <w:tc>
          <w:tcPr>
            <w:tcW w:w="3000" w:type="dxa"/>
            <w:tcBorders>
              <w:top w:val="nil"/>
              <w:left w:val="nil"/>
              <w:bottom w:val="nil"/>
              <w:right w:val="nil"/>
            </w:tcBorders>
            <w:tcMar>
              <w:top w:w="0" w:type="dxa"/>
              <w:left w:w="53" w:type="dxa"/>
              <w:bottom w:w="0" w:type="dxa"/>
              <w:right w:w="53" w:type="dxa"/>
            </w:tcMar>
            <w:vAlign w:val="top"/>
          </w:tcPr>
          <w:p>
            <w:pPr>
              <w:pageBreakBefore w:val="0"/>
              <w:spacing w:before="53" w:line="240" w:lineRule="auto"/>
              <w:jc w:val="center"/>
            </w:pPr>
            <w:r>
              <w:rPr>
                <w:rFonts w:ascii="Times New Roman" w:eastAsia="Times New Roman" w:hAnsi="Times New Roman" w:cs="Times New Roman"/>
                <w:b w:val="0"/>
                <w:i/>
                <w:color w:val="000000"/>
                <w:sz w:val="18"/>
                <w:u w:val="none"/>
              </w:rPr>
              <w:t>(I.R.S. Employer</w:t>
            </w:r>
          </w:p>
          <w:p>
            <w:pPr>
              <w:spacing w:after="30" w:line="240" w:lineRule="auto"/>
              <w:jc w:val="center"/>
            </w:pPr>
            <w:r>
              <w:rPr>
                <w:rFonts w:ascii="Times New Roman" w:eastAsia="Times New Roman" w:hAnsi="Times New Roman" w:cs="Times New Roman"/>
                <w:b w:val="0"/>
                <w:i/>
                <w:color w:val="000000"/>
                <w:sz w:val="18"/>
                <w:u w:val="none"/>
              </w:rPr>
              <w:t>Identification No.)</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2"/>
        </w:rPr>
      </w:pPr>
    </w:p>
    <w:tbl>
      <w:tblPr>
        <w:tblW w:w="7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675"/>
        <w:gridCol w:w="2205"/>
        <w:gridCol w:w="1605"/>
      </w:tblGrid>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6210 Ardrey Kell Road</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 xml:space="preserve"> Suite 120</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r>
      <w:tr>
        <w:tblPrEx>
          <w:tblW w:w="7485" w:type="dxa"/>
          <w:tblLayout w:type="fixed"/>
        </w:tblPrEx>
        <w:trPr>
          <w:cantSplit/>
          <w:trHeight w:hRule="exact" w:val="285"/>
        </w:trPr>
        <w:tc>
          <w:tcPr>
            <w:tcW w:w="3675" w:type="dxa"/>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53" w:after="3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Charlotte</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North Carolina</w:t>
            </w:r>
          </w:p>
        </w:tc>
        <w:tc>
          <w:tcPr>
            <w:tcW w:w="220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8"/>
                <w:u w:val="none"/>
              </w:rPr>
              <w:t>28277</w:t>
            </w:r>
          </w:p>
        </w:tc>
      </w:tr>
      <w:tr>
        <w:tblPrEx>
          <w:tblW w:w="7485" w:type="dxa"/>
          <w:tblLayout w:type="fixed"/>
        </w:tblPrEx>
        <w:trPr>
          <w:cantSplit/>
          <w:trHeight w:hRule="exact" w:val="315"/>
        </w:trPr>
        <w:tc>
          <w:tcPr>
            <w:tcW w:w="367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(Address of principal executive offices)</w:t>
            </w:r>
          </w:p>
        </w:tc>
        <w:tc>
          <w:tcPr>
            <w:tcW w:w="2205" w:type="dxa"/>
            <w:tcBorders>
              <w:top w:val="nil"/>
              <w:left w:val="nil"/>
              <w:bottom w:val="nil"/>
              <w:right w:val="nil"/>
            </w:tcBorders>
            <w:tcMar>
              <w:top w:w="0" w:type="dxa"/>
              <w:left w:w="0" w:type="dxa"/>
              <w:bottom w:w="0" w:type="dxa"/>
              <w:right w:w="0" w:type="dxa"/>
            </w:tcMar>
            <w:vAlign w:val="bottom"/>
          </w:tcPr>
          <w:p>
            <w:pPr>
              <w:pageBreakBefore w:val="0"/>
              <w:spacing w:before="0" w:after="0"/>
              <w:rPr>
                <w:sz w:val="18"/>
              </w:rPr>
            </w:pPr>
          </w:p>
        </w:tc>
        <w:tc>
          <w:tcPr>
            <w:tcW w:w="1605"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val="0"/>
                <w:i/>
                <w:color w:val="000000"/>
                <w:sz w:val="18"/>
                <w:u w:val="none"/>
              </w:rPr>
              <w:t>(Zip Code)</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i w:val="0"/>
          <w:sz w:val="18"/>
        </w:rPr>
      </w:pPr>
    </w:p>
    <w:p>
      <w:pPr>
        <w:keepNext w:val="0"/>
        <w:keepLines w:val="0"/>
        <w:pageBreakBefore w:val="0"/>
        <w:widowControl/>
        <w:numPr>
          <w:ilvl w:val="0"/>
          <w:numId w:val="0"/>
        </w:numPr>
        <w:spacing w:before="60" w:after="0" w:line="240" w:lineRule="auto"/>
        <w:ind w:left="0" w:right="0" w:firstLine="0"/>
        <w:jc w:val="center"/>
        <w:outlineLvl w:val="9"/>
        <w:rPr>
          <w:rFonts w:ascii="Times New Roman" w:eastAsia="Times New Roman" w:hAnsi="Times New Roman" w:cs="Times New Roman"/>
          <w:b/>
          <w:i w:val="0"/>
          <w:sz w:val="18"/>
        </w:rPr>
      </w:pPr>
      <w:r>
        <w:rPr>
          <w:rFonts w:ascii="Times New Roman" w:eastAsia="Times New Roman" w:hAnsi="Times New Roman" w:cs="Times New Roman"/>
          <w:b/>
          <w:i w:val="0"/>
          <w:color w:val="000000"/>
          <w:sz w:val="18"/>
          <w:u w:val="none"/>
        </w:rPr>
        <w:t>(980)</w:t>
      </w:r>
      <w:r>
        <w:rPr>
          <w:rFonts w:ascii="Times New Roman" w:eastAsia="Times New Roman" w:hAnsi="Times New Roman" w:cs="Times New Roman"/>
          <w:b/>
          <w:i w:val="0"/>
          <w:sz w:val="18"/>
        </w:rPr>
        <w:t xml:space="preserve"> </w:t>
      </w:r>
      <w:r>
        <w:rPr>
          <w:rFonts w:ascii="Times New Roman" w:eastAsia="Times New Roman" w:hAnsi="Times New Roman" w:cs="Times New Roman"/>
          <w:b/>
          <w:i w:val="0"/>
          <w:color w:val="000000"/>
          <w:sz w:val="18"/>
          <w:u w:val="none"/>
        </w:rPr>
        <w:t>264-4300</w:t>
      </w:r>
    </w:p>
    <w:p>
      <w:pPr>
        <w:keepNext w:val="0"/>
        <w:keepLines w:val="0"/>
        <w:pageBreakBefore w:val="0"/>
        <w:widowControl/>
        <w:numPr>
          <w:ilvl w:val="0"/>
          <w:numId w:val="0"/>
        </w:numPr>
        <w:spacing w:before="0" w:after="60" w:line="240" w:lineRule="auto"/>
        <w:ind w:left="0" w:right="0" w:firstLine="0"/>
        <w:jc w:val="center"/>
        <w:outlineLvl w:val="9"/>
        <w:rPr>
          <w:rFonts w:ascii="Times New Roman" w:eastAsia="Times New Roman" w:hAnsi="Times New Roman" w:cs="Times New Roman"/>
          <w:b w:val="0"/>
          <w:i/>
          <w:sz w:val="18"/>
        </w:rPr>
      </w:pPr>
      <w:r>
        <w:rPr>
          <w:rFonts w:ascii="Times New Roman" w:eastAsia="Times New Roman" w:hAnsi="Times New Roman" w:cs="Times New Roman"/>
          <w:b w:val="0"/>
          <w:i/>
          <w:sz w:val="18"/>
        </w:rPr>
        <w:t>(Registrant’s telephone number, including area code) </w:t>
      </w:r>
    </w:p>
    <w:p>
      <w:pPr>
        <w:keepNext w:val="0"/>
        <w:keepLines w:val="0"/>
        <w:pageBreakBefore w:val="0"/>
        <w:widowControl/>
        <w:numPr>
          <w:ilvl w:val="0"/>
          <w:numId w:val="0"/>
        </w:numPr>
        <w:spacing w:before="180" w:after="0" w:line="240" w:lineRule="auto"/>
        <w:ind w:left="0" w:right="0" w:firstLine="0"/>
        <w:jc w:val="center"/>
        <w:outlineLvl w:val="9"/>
        <w:rPr>
          <w:rFonts w:ascii="Times New Roman" w:eastAsia="Times New Roman" w:hAnsi="Times New Roman" w:cs="Times New Roman"/>
          <w:b/>
          <w:i w:val="0"/>
          <w:sz w:val="16"/>
        </w:rPr>
      </w:pPr>
      <w:r>
        <w:rPr>
          <w:rFonts w:ascii="Times New Roman" w:eastAsia="Times New Roman" w:hAnsi="Times New Roman" w:cs="Times New Roman"/>
          <w:b/>
          <w:i w:val="0"/>
          <w:sz w:val="16"/>
        </w:rPr>
        <w:t>(Former name or former address, if changed since last report)</w:t>
      </w:r>
    </w:p>
    <w:tbl>
      <w:tblPr>
        <w:tblW w:w="3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60"/>
      </w:tblGrid>
      <w:tr>
        <w:tblPrEx>
          <w:tblW w:w="3060" w:type="dxa"/>
          <w:tblLayout w:type="fixed"/>
        </w:tblPrEx>
        <w:trPr>
          <w:cantSplit/>
          <w:trHeight w:hRule="exact" w:val="75"/>
        </w:trPr>
        <w:tc>
          <w:tcPr>
            <w:tcW w:w="3060" w:type="dxa"/>
            <w:tcBorders>
              <w:top w:val="single" w:sz="8" w:space="0" w:color="000000"/>
              <w:left w:val="nil"/>
              <w:bottom w:val="nil"/>
              <w:right w:val="nil"/>
            </w:tcBorders>
            <w:tcMar>
              <w:top w:w="0" w:type="dxa"/>
              <w:left w:w="0" w:type="dxa"/>
              <w:bottom w:w="0" w:type="dxa"/>
              <w:right w:w="0" w:type="dxa"/>
            </w:tcMar>
            <w:vAlign w:val="bottom"/>
          </w:tcPr>
          <w:p>
            <w:pPr>
              <w:pageBreakBefore w:val="0"/>
              <w:spacing w:before="0" w:after="0"/>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15"/>
        <w:gridCol w:w="994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Check the appropriate box if the Form 8-K filing is intended to simultaneously satisfy the filing obligation of the registrant under any of the following provisions (see General Instruction A.2. below):</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Written communications pursuant to Rule 425 under the Securities Act (17 CFR 230.425)</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Soliciting material pursuant to Rule 14a-12 under the Exchange Act (17 CFR 240.14a-12)</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14d-2(b) under the Exchange Act (17 CFR 240.14d- 2(b))</w:t>
            </w:r>
          </w:p>
        </w:tc>
      </w:tr>
      <w:tr>
        <w:tblPrEx>
          <w:tblW w:w="10260" w:type="dxa"/>
          <w:tblLayout w:type="fixed"/>
        </w:tblPrEx>
        <w:trPr>
          <w:cantSplit/>
          <w:trHeight w:hRule="exact" w:val="345"/>
        </w:trPr>
        <w:tc>
          <w:tcPr>
            <w:tcW w:w="31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w:t>
            </w:r>
          </w:p>
        </w:tc>
        <w:tc>
          <w:tcPr>
            <w:tcW w:w="9945" w:type="dxa"/>
            <w:tcBorders>
              <w:top w:val="nil"/>
              <w:left w:val="nil"/>
              <w:bottom w:val="nil"/>
              <w:right w:val="nil"/>
            </w:tcBorders>
            <w:tcMar>
              <w:top w:w="0" w:type="dxa"/>
              <w:left w:w="53" w:type="dxa"/>
              <w:bottom w:w="0" w:type="dxa"/>
              <w:right w:w="53" w:type="dxa"/>
            </w:tcMar>
            <w:vAlign w:val="center"/>
          </w:tcPr>
          <w:p>
            <w:pPr>
              <w:pageBreakBefore w:val="0"/>
              <w:spacing w:before="0" w:after="0" w:line="240" w:lineRule="auto"/>
              <w:jc w:val="left"/>
            </w:pPr>
            <w:r>
              <w:rPr>
                <w:rFonts w:ascii="Times New Roman" w:eastAsia="Times New Roman" w:hAnsi="Times New Roman" w:cs="Times New Roman"/>
                <w:b w:val="0"/>
                <w:i w:val="0"/>
                <w:color w:val="000000"/>
                <w:sz w:val="20"/>
                <w:u w:val="none"/>
              </w:rPr>
              <w:t>Pre-commencement communications pursuant to Rule 13e-4(c) under the Exchange Act (17 CFR 240.13e- 4(c))</w:t>
            </w:r>
          </w:p>
        </w:tc>
      </w:tr>
    </w:tb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9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000"/>
        <w:gridCol w:w="165"/>
        <w:gridCol w:w="3000"/>
        <w:gridCol w:w="165"/>
        <w:gridCol w:w="3000"/>
      </w:tblGrid>
      <w:tr>
        <w:tblPrEx>
          <w:tblW w:w="9330" w:type="dxa"/>
          <w:tblLayout w:type="fixed"/>
        </w:tblPrEx>
        <w:trPr>
          <w:cantSplit/>
          <w:trHeight w:hRule="exact" w:val="255"/>
        </w:trPr>
        <w:tc>
          <w:tcPr>
            <w:tcW w:w="9330" w:type="dxa"/>
            <w:gridSpan w:val="5"/>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i w:val="0"/>
                <w:color w:val="000000"/>
                <w:sz w:val="16"/>
                <w:u w:val="none"/>
              </w:rPr>
              <w:t>Securities registered pursuant to Section 12(b) of the Act:</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Title of each class</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Trading symbol</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keepNext/>
              <w:pageBreakBefore w:val="0"/>
              <w:spacing w:before="53" w:after="30" w:line="240" w:lineRule="auto"/>
              <w:jc w:val="center"/>
            </w:pPr>
            <w:r>
              <w:rPr>
                <w:rFonts w:ascii="Times New Roman" w:eastAsia="Times New Roman" w:hAnsi="Times New Roman" w:cs="Times New Roman"/>
                <w:b w:val="0"/>
                <w:i/>
                <w:color w:val="000000"/>
                <w:sz w:val="16"/>
                <w:u w:val="none"/>
              </w:rPr>
              <w:t>Name of each exchange on which registered</w:t>
            </w:r>
          </w:p>
        </w:tc>
      </w:tr>
      <w:tr>
        <w:tblPrEx>
          <w:tblW w:w="9330" w:type="dxa"/>
          <w:tblLayout w:type="fixed"/>
        </w:tblPrEx>
        <w:trPr>
          <w:cantSplit/>
          <w:trHeight w:hRule="exact" w:val="255"/>
        </w:trPr>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Common Stock, par value $0.01</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NNBR</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300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center"/>
            </w:pPr>
            <w:r>
              <w:rPr>
                <w:rFonts w:ascii="Times New Roman" w:eastAsia="Times New Roman" w:hAnsi="Times New Roman" w:cs="Times New Roman"/>
                <w:b/>
                <w:i w:val="0"/>
                <w:color w:val="000000"/>
                <w:sz w:val="16"/>
                <w:u w:val="none"/>
              </w:rPr>
              <w:t>The Nasdaq Stock Market LLC</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945"/>
        <w:gridCol w:w="315"/>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Indicate by check mark whether the registrant is an emerging growth company as defined in Rule 405 of the Securities Act of 1933 (§230.405 of this chapter) or Rule 12b-2 of the Securities Exchange Act of 1934 (§240.12b-2 of this chapter).</w:t>
            </w:r>
          </w:p>
        </w:tc>
      </w:tr>
      <w:tr>
        <w:tblPrEx>
          <w:tblW w:w="10260" w:type="dxa"/>
          <w:tblLayout w:type="fixed"/>
        </w:tblPrEx>
        <w:trPr>
          <w:cantSplit/>
          <w:trHeight w:hRule="exact" w:val="345"/>
        </w:trPr>
        <w:tc>
          <w:tcPr>
            <w:tcW w:w="9945" w:type="dxa"/>
            <w:tcBorders>
              <w:top w:val="nil"/>
              <w:left w:val="nil"/>
              <w:bottom w:val="nil"/>
              <w:right w:val="nil"/>
            </w:tcBorders>
            <w:tcMar>
              <w:top w:w="0" w:type="dxa"/>
              <w:left w:w="0" w:type="dxa"/>
              <w:bottom w:w="0" w:type="dxa"/>
              <w:right w:w="53" w:type="dxa"/>
            </w:tcMar>
            <w:vAlign w:val="center"/>
          </w:tcPr>
          <w:p>
            <w:pPr>
              <w:keepNext/>
              <w:pageBreakBefore w:val="0"/>
              <w:spacing w:before="0" w:after="0" w:line="240" w:lineRule="auto"/>
              <w:jc w:val="right"/>
            </w:pPr>
            <w:r>
              <w:rPr>
                <w:rFonts w:ascii="Times New Roman" w:eastAsia="Times New Roman" w:hAnsi="Times New Roman" w:cs="Times New Roman"/>
                <w:b w:val="0"/>
                <w:i w:val="0"/>
                <w:color w:val="000000"/>
                <w:sz w:val="20"/>
                <w:u w:val="none"/>
              </w:rPr>
              <w:t xml:space="preserve">Emerging growth company.  </w:t>
            </w:r>
          </w:p>
        </w:tc>
        <w:tc>
          <w:tcPr>
            <w:tcW w:w="315" w:type="dxa"/>
            <w:tcBorders>
              <w:top w:val="nil"/>
              <w:left w:val="nil"/>
              <w:bottom w:val="nil"/>
              <w:right w:val="nil"/>
            </w:tcBorders>
            <w:tcMar>
              <w:top w:w="0" w:type="dxa"/>
              <w:left w:w="53" w:type="dxa"/>
              <w:bottom w:w="0" w:type="dxa"/>
              <w:right w:w="53" w:type="dxa"/>
            </w:tcMar>
            <w:vAlign w:val="center"/>
          </w:tcPr>
          <w:p>
            <w:pPr>
              <w:keepNext/>
              <w:pageBreakBefore w:val="0"/>
              <w:spacing w:before="0" w:after="0" w:line="240" w:lineRule="auto"/>
              <w:jc w:val="center"/>
            </w:pPr>
            <w:r>
              <w:rPr>
                <w:rFonts w:ascii="Times New Roman" w:eastAsia="Times New Roman" w:hAnsi="Times New Roman" w:cs="Times New Roman"/>
                <w:b w:val="0"/>
                <w:i w:val="0"/>
                <w:color w:val="000000"/>
                <w:sz w:val="20"/>
                <w:u w:val="none"/>
              </w:rPr>
              <w:t>☐</w:t>
            </w:r>
          </w:p>
        </w:tc>
      </w:tr>
      <w:tr>
        <w:tblPrEx>
          <w:tblW w:w="10260" w:type="dxa"/>
          <w:tblLayout w:type="fixed"/>
        </w:tblPrEx>
        <w:trPr>
          <w:cantSplit/>
          <w:trHeight w:hRule="exact" w:val="735"/>
        </w:trPr>
        <w:tc>
          <w:tcPr>
            <w:tcW w:w="10260" w:type="dxa"/>
            <w:gridSpan w:val="2"/>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If an emerging growth company, indicate by check mark if the registrant has elected not to use the extended transition period for complying with any new or revised financial accounting standards provided pursuant to Section 13(a) of the Exchange Act.  ☐</w:t>
            </w: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1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9360"/>
      </w:tblGrid>
      <w:tr>
        <w:tblPrEx>
          <w:tblW w:w="9360" w:type="dxa"/>
          <w:tblLayout w:type="fixed"/>
        </w:tblPrEx>
        <w:trPr>
          <w:cantSplit/>
          <w:trHeight w:hRule="exact" w:val="60"/>
        </w:trPr>
        <w:tc>
          <w:tcPr>
            <w:tcW w:w="9360" w:type="dxa"/>
            <w:tcBorders>
              <w:top w:val="nil"/>
              <w:left w:val="nil"/>
              <w:bottom w:val="double" w:sz="8" w:space="0" w:color="000000"/>
              <w:right w:val="nil"/>
            </w:tcBorders>
            <w:tcMar>
              <w:top w:w="0" w:type="dxa"/>
              <w:left w:w="0" w:type="dxa"/>
              <w:bottom w:w="0" w:type="dxa"/>
              <w:right w:w="0" w:type="dxa"/>
            </w:tcMar>
            <w:vAlign w:val="bottom"/>
          </w:tcPr>
          <w:p>
            <w:pPr>
              <w:pageBreakBefore w:val="0"/>
              <w:spacing w:before="0" w:after="0"/>
              <w:rPr>
                <w:rFonts w:ascii="Times New Roman" w:eastAsia="Times New Roman" w:hAnsi="Times New Roman" w:cs="Times New Roman"/>
                <w:sz w:val="24"/>
              </w:rPr>
            </w:pPr>
          </w:p>
        </w:tc>
      </w:tr>
    </w:tbl>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pPr>
    </w:p>
    <w:p>
      <w:pPr>
        <w:keepNext w:val="0"/>
        <w:keepLines w:val="0"/>
        <w:pageBreakBefore w:val="0"/>
        <w:widowControl/>
        <w:numPr>
          <w:ilvl w:val="0"/>
          <w:numId w:val="0"/>
        </w:numPr>
        <w:spacing w:before="0" w:after="0" w:line="240" w:lineRule="auto"/>
        <w:ind w:left="0" w:right="0" w:firstLine="0"/>
        <w:jc w:val="center"/>
        <w:outlineLvl w:val="9"/>
        <w:rPr>
          <w:rFonts w:ascii="Times New Roman" w:eastAsia="Times New Roman" w:hAnsi="Times New Roman" w:cs="Times New Roman"/>
          <w:b w:val="0"/>
          <w:i w:val="0"/>
          <w:sz w:val="2"/>
        </w:rPr>
        <w:sectPr>
          <w:headerReference w:type="default" r:id="rId5"/>
          <w:footerReference w:type="default" r:id="rId6"/>
          <w:type w:val="continuous"/>
          <w:pgSz w:w="12240" w:h="15840"/>
          <w:pgMar w:top="450" w:right="1440" w:bottom="1440" w:left="1440" w:header="0" w:footer="0" w:gutter="0"/>
          <w:cols w:space="720"/>
          <w:docGrid w:linePitch="360"/>
        </w:sectPr>
      </w:pPr>
    </w:p>
    <w:p>
      <w:pPr>
        <w:keepNext w:val="0"/>
        <w:keepLines w:val="0"/>
        <w:pageBreakBefore w:val="0"/>
        <w:widowControl/>
        <w:numPr>
          <w:ilvl w:val="0"/>
          <w:numId w:val="0"/>
        </w:numPr>
        <w:spacing w:before="0" w:after="60" w:line="334" w:lineRule="auto"/>
        <w:ind w:left="1440" w:right="0" w:hanging="1440"/>
        <w:jc w:val="left"/>
        <w:outlineLvl w:val="0"/>
        <w:rPr>
          <w:rFonts w:ascii="Times New Roman" w:eastAsia="Times New Roman" w:hAnsi="Times New Roman" w:cs="Times New Roman"/>
          <w:b w:val="0"/>
          <w:i w:val="0"/>
          <w:sz w:val="24"/>
        </w:rPr>
      </w:pPr>
      <w:bookmarkStart w:id="0" w:name="Section2"/>
      <w:bookmarkEnd w:id="0"/>
      <w:r>
        <w:rPr>
          <w:rFonts w:ascii="Times New Roman" w:eastAsia="Times New Roman" w:hAnsi="Times New Roman" w:cs="Times New Roman"/>
          <w:b/>
          <w:i w:val="0"/>
          <w:sz w:val="20"/>
        </w:rPr>
        <w:t>ITEM 7.01</w:t>
      </w:r>
      <w:r>
        <w:rPr>
          <w:rFonts w:ascii="Times New Roman" w:eastAsia="Times New Roman" w:hAnsi="Times New Roman" w:cs="Times New Roman"/>
          <w:b/>
          <w:i w:val="0"/>
          <w:sz w:val="20"/>
        </w:rPr>
        <w:tab/>
      </w:r>
      <w:r>
        <w:rPr>
          <w:rFonts w:ascii="Times New Roman" w:eastAsia="Times New Roman" w:hAnsi="Times New Roman" w:cs="Times New Roman"/>
          <w:b/>
          <w:i w:val="0"/>
          <w:sz w:val="20"/>
        </w:rPr>
        <w:t>REGULATION FD DISCLOSURE</w:t>
      </w:r>
    </w:p>
    <w:p>
      <w:pPr>
        <w:keepNext w:val="0"/>
        <w:keepLines w:val="0"/>
        <w:pageBreakBefore w:val="0"/>
        <w:widowControl/>
        <w:numPr>
          <w:ilvl w:val="0"/>
          <w:numId w:val="0"/>
        </w:numPr>
        <w:spacing w:before="0" w:after="0" w:line="319"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 xml:space="preserve">On September </w:t>
      </w:r>
      <w:r>
        <w:rPr>
          <w:rFonts w:ascii="Times New Roman" w:eastAsia="Times New Roman" w:hAnsi="Times New Roman" w:cs="Times New Roman"/>
          <w:b w:val="0"/>
          <w:i w:val="0"/>
          <w:sz w:val="20"/>
        </w:rPr>
        <w:t>22</w:t>
      </w:r>
      <w:r>
        <w:rPr>
          <w:rFonts w:ascii="Times New Roman" w:eastAsia="Times New Roman" w:hAnsi="Times New Roman" w:cs="Times New Roman"/>
          <w:b w:val="0"/>
          <w:i w:val="0"/>
          <w:sz w:val="20"/>
        </w:rPr>
        <w:t xml:space="preserve">, 2026, NN, Inc., a Delaware corporation (the “Company”), </w:t>
      </w:r>
      <w:r>
        <w:rPr>
          <w:rFonts w:ascii="Times New Roman" w:eastAsia="Times New Roman" w:hAnsi="Times New Roman" w:cs="Times New Roman"/>
          <w:b w:val="0"/>
          <w:i w:val="0"/>
          <w:sz w:val="20"/>
        </w:rPr>
        <w:t xml:space="preserve">issued a press release and </w:t>
      </w:r>
      <w:r>
        <w:rPr>
          <w:rFonts w:ascii="Times New Roman" w:eastAsia="Times New Roman" w:hAnsi="Times New Roman" w:cs="Times New Roman"/>
          <w:b w:val="0"/>
          <w:i w:val="0"/>
          <w:sz w:val="20"/>
        </w:rPr>
        <w:t>posted an updated copy of an investor presentation to its website at https://investors.nninc.com. The presentation will be used at the</w:t>
      </w:r>
      <w:r>
        <w:rPr>
          <w:rFonts w:ascii="Times New Roman" w:eastAsia="Times New Roman" w:hAnsi="Times New Roman" w:cs="Times New Roman"/>
          <w:b w:val="0"/>
          <w:i w:val="0"/>
          <w:sz w:val="20"/>
        </w:rPr>
        <w:t xml:space="preserve"> D.A. Davidson Diversified Industrial &amp; Services Investor Conference</w:t>
      </w:r>
      <w:r>
        <w:rPr>
          <w:rFonts w:ascii="Times New Roman" w:eastAsia="Times New Roman" w:hAnsi="Times New Roman" w:cs="Times New Roman"/>
          <w:b w:val="0"/>
          <w:i w:val="0"/>
          <w:sz w:val="20"/>
        </w:rPr>
        <w:t xml:space="preserve"> on September </w:t>
      </w:r>
      <w:r>
        <w:rPr>
          <w:rFonts w:ascii="Times New Roman" w:eastAsia="Times New Roman" w:hAnsi="Times New Roman" w:cs="Times New Roman"/>
          <w:b w:val="0"/>
          <w:i w:val="0"/>
          <w:sz w:val="20"/>
        </w:rPr>
        <w:t>24</w:t>
      </w:r>
      <w:r>
        <w:rPr>
          <w:rFonts w:ascii="Times New Roman" w:eastAsia="Times New Roman" w:hAnsi="Times New Roman" w:cs="Times New Roman"/>
          <w:b w:val="0"/>
          <w:i w:val="0"/>
          <w:sz w:val="20"/>
        </w:rPr>
        <w:t xml:space="preserve">, 2026. A copy of this </w:t>
      </w:r>
      <w:r>
        <w:rPr>
          <w:rFonts w:ascii="Times New Roman" w:eastAsia="Times New Roman" w:hAnsi="Times New Roman" w:cs="Times New Roman"/>
          <w:b w:val="0"/>
          <w:i w:val="0"/>
          <w:sz w:val="20"/>
        </w:rPr>
        <w:t>press release and</w:t>
      </w:r>
      <w:r>
        <w:rPr>
          <w:rFonts w:ascii="Times New Roman" w:eastAsia="Times New Roman" w:hAnsi="Times New Roman" w:cs="Times New Roman"/>
          <w:b w:val="0"/>
          <w:i w:val="0"/>
          <w:sz w:val="20"/>
        </w:rPr>
        <w:t xml:space="preserve"> </w:t>
      </w:r>
      <w:r>
        <w:rPr>
          <w:rFonts w:ascii="Times New Roman" w:eastAsia="Times New Roman" w:hAnsi="Times New Roman" w:cs="Times New Roman"/>
          <w:b w:val="0"/>
          <w:i w:val="0"/>
          <w:sz w:val="20"/>
        </w:rPr>
        <w:t xml:space="preserve">presentation </w:t>
      </w:r>
      <w:r>
        <w:rPr>
          <w:rFonts w:ascii="Times New Roman" w:eastAsia="Times New Roman" w:hAnsi="Times New Roman" w:cs="Times New Roman"/>
          <w:b w:val="0"/>
          <w:i w:val="0"/>
          <w:sz w:val="20"/>
        </w:rPr>
        <w:t>are</w:t>
      </w:r>
      <w:r>
        <w:rPr>
          <w:rFonts w:ascii="Times New Roman" w:eastAsia="Times New Roman" w:hAnsi="Times New Roman" w:cs="Times New Roman"/>
          <w:b w:val="0"/>
          <w:i w:val="0"/>
          <w:sz w:val="20"/>
        </w:rPr>
        <w:t xml:space="preserve"> included as Exhibit</w:t>
      </w:r>
      <w:r>
        <w:rPr>
          <w:rFonts w:ascii="Times New Roman" w:eastAsia="Times New Roman" w:hAnsi="Times New Roman" w:cs="Times New Roman"/>
          <w:b w:val="0"/>
          <w:i w:val="0"/>
          <w:sz w:val="20"/>
        </w:rPr>
        <w:t>s</w:t>
      </w:r>
      <w:r>
        <w:rPr>
          <w:rFonts w:ascii="Times New Roman" w:eastAsia="Times New Roman" w:hAnsi="Times New Roman" w:cs="Times New Roman"/>
          <w:b w:val="0"/>
          <w:i w:val="0"/>
          <w:sz w:val="20"/>
        </w:rPr>
        <w:t xml:space="preserve"> 99.1</w:t>
      </w:r>
      <w:r>
        <w:rPr>
          <w:rFonts w:ascii="Times New Roman" w:eastAsia="Times New Roman" w:hAnsi="Times New Roman" w:cs="Times New Roman"/>
          <w:b w:val="0"/>
          <w:i w:val="0"/>
          <w:sz w:val="20"/>
        </w:rPr>
        <w:t xml:space="preserve"> and</w:t>
      </w:r>
      <w:r>
        <w:rPr>
          <w:rFonts w:ascii="Times New Roman" w:eastAsia="Times New Roman" w:hAnsi="Times New Roman" w:cs="Times New Roman"/>
          <w:b w:val="0"/>
          <w:i w:val="0"/>
          <w:sz w:val="20"/>
        </w:rPr>
        <w:t xml:space="preserve"> 99.2 </w:t>
      </w:r>
      <w:r>
        <w:rPr>
          <w:rFonts w:ascii="Times New Roman" w:eastAsia="Times New Roman" w:hAnsi="Times New Roman" w:cs="Times New Roman"/>
          <w:b w:val="0"/>
          <w:i w:val="0"/>
          <w:sz w:val="20"/>
        </w:rPr>
        <w:t>to this Current Report.</w:t>
      </w:r>
    </w:p>
    <w:p>
      <w:pPr>
        <w:keepNext w:val="0"/>
        <w:keepLines w:val="0"/>
        <w:pageBreakBefore w:val="0"/>
        <w:widowControl/>
        <w:numPr>
          <w:ilvl w:val="0"/>
          <w:numId w:val="0"/>
        </w:numPr>
        <w:spacing w:before="0" w:after="0" w:line="319"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Pursuant to the rules and regulations of the U.S. Securities and Exchange Commission, the information furnished pursuant to this Item 7.01 of this Current Report (including Exhibit</w:t>
      </w:r>
      <w:r>
        <w:rPr>
          <w:rFonts w:ascii="Times New Roman" w:eastAsia="Times New Roman" w:hAnsi="Times New Roman" w:cs="Times New Roman"/>
          <w:b w:val="0"/>
          <w:i w:val="0"/>
          <w:sz w:val="20"/>
        </w:rPr>
        <w:t>s</w:t>
      </w:r>
      <w:r>
        <w:rPr>
          <w:rFonts w:ascii="Times New Roman" w:eastAsia="Times New Roman" w:hAnsi="Times New Roman" w:cs="Times New Roman"/>
          <w:b w:val="0"/>
          <w:i w:val="0"/>
          <w:sz w:val="20"/>
        </w:rPr>
        <w:t xml:space="preserve"> 99.</w:t>
      </w:r>
      <w:r>
        <w:rPr>
          <w:rFonts w:ascii="Times New Roman" w:eastAsia="Times New Roman" w:hAnsi="Times New Roman" w:cs="Times New Roman"/>
          <w:b w:val="0"/>
          <w:i w:val="0"/>
          <w:sz w:val="20"/>
        </w:rPr>
        <w:t>1 an</w:t>
      </w:r>
      <w:r>
        <w:rPr>
          <w:rFonts w:ascii="Times New Roman" w:eastAsia="Times New Roman" w:hAnsi="Times New Roman" w:cs="Times New Roman"/>
          <w:b w:val="0"/>
          <w:i w:val="0"/>
          <w:sz w:val="20"/>
        </w:rPr>
        <w:t>d 99.2</w:t>
      </w:r>
      <w:r>
        <w:rPr>
          <w:rFonts w:ascii="Times New Roman" w:eastAsia="Times New Roman" w:hAnsi="Times New Roman" w:cs="Times New Roman"/>
          <w:b w:val="0"/>
          <w:i w:val="0"/>
          <w:sz w:val="20"/>
        </w:rPr>
        <w:t>) is deemed to have been furnished and shall not be deemed “filed” for the purposes of Section 18 of the Securities Exchange Act of 1934, as amended, or otherwise subject to the liabilities of that section. Such information shall not be incorporated by reference into any other filing of the Company under the Securities Act of 1933, as amended, or the Exchange Act, whether made before or after the date hereof, regardless of any general incorporation language in such filing.</w:t>
      </w:r>
    </w:p>
    <w:p>
      <w:pPr>
        <w:keepNext w:val="0"/>
        <w:keepLines w:val="0"/>
        <w:pageBreakBefore w:val="0"/>
        <w:widowControl/>
        <w:numPr>
          <w:ilvl w:val="0"/>
          <w:numId w:val="0"/>
        </w:numPr>
        <w:spacing w:before="0" w:after="0" w:line="319" w:lineRule="auto"/>
        <w:ind w:left="0" w:right="0" w:firstLine="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val="0"/>
          <w:sz w:val="20"/>
        </w:rPr>
        <w:t>The Company routinely uses its investor relations website (https://investors.nninc.com) to post presentations to investors and other important information, including information that may be material. Accordingly, the Company encourages investors and others interested in the Company to review the information it makes public on its investor relations website.</w:t>
      </w:r>
    </w:p>
    <w:p>
      <w:pPr>
        <w:keepNext w:val="0"/>
        <w:keepLines w:val="0"/>
        <w:pageBreakBefore w:val="0"/>
        <w:widowControl/>
        <w:numPr>
          <w:ilvl w:val="0"/>
          <w:numId w:val="0"/>
        </w:numPr>
        <w:spacing w:before="0" w:after="0" w:line="312" w:lineRule="auto"/>
        <w:ind w:left="0" w:right="0" w:firstLine="720"/>
        <w:jc w:val="left"/>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12" w:lineRule="auto"/>
        <w:ind w:left="0" w:right="0" w:firstLine="720"/>
        <w:jc w:val="left"/>
        <w:outlineLvl w:val="9"/>
        <w:sectPr>
          <w:headerReference w:type="default" r:id="rId7"/>
          <w:pgSz w:w="12240" w:h="15840"/>
          <w:pgMar w:top="1440" w:right="1440" w:bottom="1440" w:left="1440" w:header="0" w:footer="0"/>
          <w:cols w:space="720"/>
        </w:sectPr>
      </w:pPr>
    </w:p>
    <w:p>
      <w:pPr>
        <w:keepNext w:val="0"/>
        <w:keepLines w:val="0"/>
        <w:pageBreakBefore w:val="0"/>
        <w:widowControl/>
        <w:numPr>
          <w:ilvl w:val="0"/>
          <w:numId w:val="0"/>
        </w:numPr>
        <w:spacing w:before="0" w:after="0" w:line="269" w:lineRule="auto"/>
        <w:ind w:left="0" w:right="0" w:firstLine="0"/>
        <w:jc w:val="left"/>
        <w:outlineLvl w:val="1"/>
        <w:rPr>
          <w:rFonts w:ascii="Times New Roman" w:eastAsia="Times New Roman" w:hAnsi="Times New Roman" w:cs="Times New Roman"/>
          <w:b w:val="0"/>
          <w:i w:val="0"/>
          <w:sz w:val="24"/>
        </w:rPr>
      </w:pPr>
      <w:bookmarkStart w:id="1" w:name="Section3"/>
      <w:bookmarkEnd w:id="1"/>
      <w:r>
        <w:rPr>
          <w:rFonts w:ascii="Times New Roman" w:eastAsia="Times New Roman" w:hAnsi="Times New Roman" w:cs="Times New Roman"/>
          <w:b/>
          <w:i w:val="0"/>
          <w:sz w:val="20"/>
        </w:rPr>
        <w:t xml:space="preserve">ITEM 9.01 FINANCIAL STATEMENTS AND EXHIBITS </w:t>
      </w:r>
    </w:p>
    <w:p>
      <w:pPr>
        <w:keepNext w:val="0"/>
        <w:keepLines w:val="0"/>
        <w:pageBreakBefore w:val="0"/>
        <w:widowControl/>
        <w:numPr>
          <w:ilvl w:val="0"/>
          <w:numId w:val="0"/>
        </w:numPr>
        <w:spacing w:before="0" w:after="0" w:line="276" w:lineRule="auto"/>
        <w:ind w:left="0" w:right="0" w:firstLine="0"/>
        <w:jc w:val="left"/>
        <w:outlineLvl w:val="9"/>
        <w:rPr>
          <w:rFonts w:ascii="Arial" w:eastAsia="Arial" w:hAnsi="Arial" w:cs="Arial"/>
          <w:b w:val="0"/>
          <w:i w:val="0"/>
          <w:sz w:val="24"/>
        </w:rPr>
      </w:pPr>
    </w:p>
    <w:p>
      <w:pPr>
        <w:keepNext w:val="0"/>
        <w:keepLines w:val="0"/>
        <w:pageBreakBefore w:val="0"/>
        <w:widowControl/>
        <w:numPr>
          <w:ilvl w:val="0"/>
          <w:numId w:val="0"/>
        </w:numPr>
        <w:spacing w:before="0" w:after="0" w:line="269" w:lineRule="auto"/>
        <w:ind w:left="0" w:right="0" w:firstLine="0"/>
        <w:jc w:val="left"/>
        <w:outlineLvl w:val="9"/>
        <w:rPr>
          <w:rFonts w:ascii="Times New Roman" w:eastAsia="Times New Roman" w:hAnsi="Times New Roman" w:cs="Times New Roman"/>
          <w:b w:val="0"/>
          <w:i w:val="0"/>
          <w:sz w:val="24"/>
        </w:rPr>
      </w:pPr>
      <w:r>
        <w:rPr>
          <w:rFonts w:ascii="Times New Roman" w:eastAsia="Times New Roman" w:hAnsi="Times New Roman" w:cs="Times New Roman"/>
          <w:b w:val="0"/>
          <w:i/>
          <w:sz w:val="20"/>
        </w:rPr>
        <w:t>(d) Exhibits.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45"/>
        <w:gridCol w:w="165"/>
        <w:gridCol w:w="9450"/>
      </w:tblGrid>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53" w:type="dxa"/>
            </w:tcMar>
            <w:vAlign w:val="bottom"/>
          </w:tcPr>
          <w:p>
            <w:pPr>
              <w:keepNext/>
              <w:pageBreakBefore w:val="0"/>
              <w:spacing w:before="43" w:line="240" w:lineRule="auto"/>
              <w:jc w:val="center"/>
            </w:pPr>
            <w:r>
              <w:rPr>
                <w:rFonts w:ascii="Times New Roman" w:eastAsia="Times New Roman" w:hAnsi="Times New Roman" w:cs="Times New Roman"/>
                <w:b/>
                <w:i w:val="0"/>
                <w:color w:val="000000"/>
                <w:sz w:val="16"/>
                <w:u w:val="single"/>
              </w:rPr>
              <w:t>Exhibit</w:t>
            </w:r>
          </w:p>
          <w:p>
            <w:pPr>
              <w:spacing w:after="20" w:line="240" w:lineRule="auto"/>
              <w:jc w:val="center"/>
            </w:pPr>
            <w:r>
              <w:rPr>
                <w:rFonts w:ascii="Times New Roman" w:eastAsia="Times New Roman" w:hAnsi="Times New Roman" w:cs="Times New Roman"/>
                <w:b/>
                <w:i w:val="0"/>
                <w:color w:val="000000"/>
                <w:sz w:val="16"/>
                <w:u w:val="single"/>
              </w:rPr>
              <w:t>No.</w:t>
            </w:r>
          </w:p>
        </w:tc>
        <w:tc>
          <w:tcPr>
            <w:tcW w:w="165"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val="0"/>
                <w:i w:val="0"/>
                <w:color w:val="000000"/>
                <w:sz w:val="16"/>
                <w:u w:val="none"/>
              </w:rPr>
              <w:t>  </w:t>
            </w:r>
          </w:p>
        </w:tc>
        <w:tc>
          <w:tcPr>
            <w:tcW w:w="9450" w:type="dxa"/>
            <w:tcBorders>
              <w:top w:val="nil"/>
              <w:left w:val="nil"/>
              <w:bottom w:val="nil"/>
              <w:right w:val="nil"/>
            </w:tcBorders>
            <w:tcMar>
              <w:top w:w="0" w:type="dxa"/>
              <w:left w:w="53" w:type="dxa"/>
              <w:bottom w:w="0" w:type="dxa"/>
              <w:right w:w="53" w:type="dxa"/>
            </w:tcMar>
            <w:vAlign w:val="bottom"/>
          </w:tcPr>
          <w:p>
            <w:pPr>
              <w:keepNext/>
              <w:pageBreakBefore w:val="0"/>
              <w:spacing w:before="43" w:after="20" w:line="240" w:lineRule="auto"/>
              <w:jc w:val="left"/>
            </w:pPr>
            <w:r>
              <w:rPr>
                <w:rFonts w:ascii="Times New Roman" w:eastAsia="Times New Roman" w:hAnsi="Times New Roman" w:cs="Times New Roman"/>
                <w:b/>
                <w:i w:val="0"/>
                <w:color w:val="000000"/>
                <w:sz w:val="16"/>
                <w:u w:val="single"/>
              </w:rPr>
              <w:t>Description of Exhibit</w:t>
            </w:r>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43" w:after="20" w:line="240" w:lineRule="auto"/>
              <w:jc w:val="center"/>
            </w:pPr>
            <w:r>
              <w:rPr>
                <w:rFonts w:ascii="Times New Roman" w:eastAsia="Times New Roman" w:hAnsi="Times New Roman" w:cs="Times New Roman"/>
                <w:b w:val="0"/>
                <w:i w:val="0"/>
                <w:color w:val="000000"/>
                <w:sz w:val="20"/>
                <w:u w:val="none"/>
              </w:rPr>
              <w:t>99.1</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43" w:after="2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8" w:history="1">
              <w:r>
                <w:rPr>
                  <w:rFonts w:ascii="Times New Roman" w:eastAsia="Times New Roman" w:hAnsi="Times New Roman" w:cs="Times New Roman"/>
                  <w:b w:val="0"/>
                  <w:i w:val="0"/>
                  <w:color w:val="0000FF"/>
                  <w:sz w:val="20"/>
                  <w:u w:val="single"/>
                  <w:shd w:val="clear" w:color="auto" w:fill="auto"/>
                </w:rPr>
                <w:t>Press Release issued by NN, Inc., dated September 22, 2026</w:t>
              </w:r>
            </w:hyperlink>
          </w:p>
        </w:tc>
      </w:tr>
      <w:tr>
        <w:tblPrEx>
          <w:tblW w:w="10260" w:type="dxa"/>
          <w:tblInd w:w="0" w:type="dxa"/>
          <w:tblLayout w:type="fixed"/>
        </w:tblPrEx>
        <w:trPr>
          <w:cantSplit/>
          <w:trHeight w:hRule="exact" w:val="315"/>
        </w:trPr>
        <w:tc>
          <w:tcPr>
            <w:tcW w:w="645" w:type="dxa"/>
            <w:tcBorders>
              <w:top w:val="nil"/>
              <w:left w:val="nil"/>
              <w:bottom w:val="nil"/>
              <w:right w:val="nil"/>
            </w:tcBorders>
            <w:tcMar>
              <w:top w:w="0" w:type="dxa"/>
              <w:left w:w="53" w:type="dxa"/>
              <w:bottom w:w="0" w:type="dxa"/>
              <w:right w:w="15" w:type="dxa"/>
            </w:tcMar>
            <w:vAlign w:val="top"/>
          </w:tcPr>
          <w:p>
            <w:pPr>
              <w:keepNext/>
              <w:pageBreakBefore w:val="0"/>
              <w:spacing w:before="53" w:after="30" w:line="240" w:lineRule="auto"/>
              <w:jc w:val="center"/>
            </w:pPr>
            <w:r>
              <w:rPr>
                <w:rFonts w:ascii="Times New Roman" w:eastAsia="Times New Roman" w:hAnsi="Times New Roman" w:cs="Times New Roman"/>
                <w:b w:val="0"/>
                <w:i w:val="0"/>
                <w:color w:val="000000"/>
                <w:sz w:val="20"/>
                <w:u w:val="none"/>
              </w:rPr>
              <w:t>99.2</w:t>
            </w:r>
          </w:p>
        </w:tc>
        <w:tc>
          <w:tcPr>
            <w:tcW w:w="1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Style w:val="Normal-wk"/>
              <w:keepNext/>
              <w:pageBreakBefore w:val="0"/>
              <w:numPr>
                <w:ilvl w:val="0"/>
                <w:numId w:val="0"/>
              </w:numPr>
              <w:spacing w:before="53" w:after="30" w:line="240" w:lineRule="auto"/>
              <w:ind w:left="0" w:right="0" w:firstLine="0"/>
              <w:jc w:val="left"/>
              <w:outlineLvl w:val="9"/>
              <w:rPr>
                <w:rFonts w:ascii="Times New Roman" w:eastAsia="Times New Roman" w:hAnsi="Times New Roman" w:cs="Times New Roman"/>
                <w:b w:val="0"/>
                <w:i w:val="0"/>
                <w:sz w:val="20"/>
                <w:shd w:val="clear" w:color="auto" w:fill="auto"/>
              </w:rPr>
            </w:pPr>
            <w:hyperlink r:id="rId9" w:history="1">
              <w:r>
                <w:rPr>
                  <w:rFonts w:ascii="Times New Roman" w:eastAsia="Times New Roman" w:hAnsi="Times New Roman" w:cs="Times New Roman"/>
                  <w:b w:val="0"/>
                  <w:i w:val="0"/>
                  <w:color w:val="0000FF"/>
                  <w:sz w:val="20"/>
                  <w:u w:val="single"/>
                  <w:shd w:val="clear" w:color="auto" w:fill="auto"/>
                </w:rPr>
                <w:t>NN, Inc. D.A. Davidson Presentation</w:t>
              </w:r>
            </w:hyperlink>
          </w:p>
        </w:tc>
      </w:tr>
      <w:tr>
        <w:tblPrEx>
          <w:tblW w:w="10260" w:type="dxa"/>
          <w:tblInd w:w="0" w:type="dxa"/>
          <w:tblLayout w:type="fixed"/>
        </w:tblPrEx>
        <w:trPr>
          <w:cantSplit/>
          <w:trHeight w:hRule="auto" w:val="0"/>
        </w:trPr>
        <w:tc>
          <w:tcPr>
            <w:tcW w:w="645" w:type="dxa"/>
            <w:tcBorders>
              <w:top w:val="nil"/>
              <w:left w:val="nil"/>
              <w:bottom w:val="nil"/>
              <w:right w:val="nil"/>
            </w:tcBorders>
            <w:tcMar>
              <w:top w:w="0" w:type="dxa"/>
              <w:left w:w="53" w:type="dxa"/>
              <w:bottom w:w="0" w:type="dxa"/>
              <w:right w:w="15" w:type="dxa"/>
            </w:tcMar>
            <w:vAlign w:val="top"/>
          </w:tcPr>
          <w:p>
            <w:pPr>
              <w:pageBreakBefore w:val="0"/>
              <w:spacing w:before="43" w:after="20" w:line="240" w:lineRule="auto"/>
              <w:jc w:val="center"/>
            </w:pPr>
            <w:r>
              <w:rPr>
                <w:rFonts w:ascii="Times New Roman" w:eastAsia="Times New Roman" w:hAnsi="Times New Roman" w:cs="Times New Roman"/>
                <w:b w:val="0"/>
                <w:i w:val="0"/>
                <w:color w:val="000000"/>
                <w:sz w:val="20"/>
                <w:u w:val="none"/>
              </w:rPr>
              <w:t>104</w:t>
            </w:r>
          </w:p>
        </w:tc>
        <w:tc>
          <w:tcPr>
            <w:tcW w:w="1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0" w:type="dxa"/>
            <w:tcBorders>
              <w:top w:val="nil"/>
              <w:left w:val="nil"/>
              <w:bottom w:val="nil"/>
              <w:right w:val="nil"/>
            </w:tcBorders>
            <w:tcMar>
              <w:top w:w="0" w:type="dxa"/>
              <w:left w:w="53" w:type="dxa"/>
              <w:bottom w:w="0" w:type="dxa"/>
              <w:right w:w="53" w:type="dxa"/>
            </w:tcMar>
            <w:vAlign w:val="top"/>
          </w:tcPr>
          <w:p>
            <w:pPr>
              <w:pageBreakBefore w:val="0"/>
              <w:spacing w:before="43" w:after="20" w:line="240" w:lineRule="auto"/>
              <w:jc w:val="left"/>
            </w:pPr>
            <w:r>
              <w:rPr>
                <w:rFonts w:ascii="Times New Roman" w:eastAsia="Times New Roman" w:hAnsi="Times New Roman" w:cs="Times New Roman"/>
                <w:b w:val="0"/>
                <w:i w:val="0"/>
                <w:color w:val="000000"/>
                <w:sz w:val="20"/>
                <w:u w:val="none"/>
              </w:rPr>
              <w:t>Cover Page Interactive Data File (embedded within the Inline XBRL document)</w:t>
            </w:r>
          </w:p>
        </w:tc>
      </w:tr>
    </w:tbl>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pPr>
    </w:p>
    <w:p>
      <w:pPr>
        <w:keepNext w:val="0"/>
        <w:keepLines w:val="0"/>
        <w:pageBreakBefore w:val="0"/>
        <w:widowControl/>
        <w:numPr>
          <w:ilvl w:val="0"/>
          <w:numId w:val="0"/>
        </w:numPr>
        <w:spacing w:before="0" w:after="0" w:line="288" w:lineRule="auto"/>
        <w:ind w:left="0" w:right="0" w:firstLine="0"/>
        <w:jc w:val="center"/>
        <w:outlineLvl w:val="9"/>
        <w:rPr>
          <w:rFonts w:ascii="Times New Roman" w:eastAsia="Times New Roman" w:hAnsi="Times New Roman" w:cs="Times New Roman"/>
          <w:b/>
          <w:i w:val="0"/>
          <w:sz w:val="20"/>
        </w:rPr>
        <w:sectPr>
          <w:type w:val="continuous"/>
          <w:pgSz w:w="12240" w:h="15840"/>
          <w:pgMar w:top="1440" w:right="1440" w:bottom="1440" w:left="1440" w:header="0" w:footer="0"/>
          <w:cols w:space="720"/>
        </w:sectPr>
      </w:pPr>
    </w:p>
    <w:p>
      <w:pPr>
        <w:keepNext w:val="0"/>
        <w:keepLines w:val="0"/>
        <w:pageBreakBefore w:val="0"/>
        <w:widowControl/>
        <w:numPr>
          <w:ilvl w:val="0"/>
          <w:numId w:val="0"/>
        </w:numPr>
        <w:spacing w:before="0" w:after="0" w:line="288" w:lineRule="auto"/>
        <w:ind w:left="0" w:right="0" w:firstLine="0"/>
        <w:jc w:val="center"/>
        <w:outlineLvl w:val="0"/>
        <w:rPr>
          <w:rFonts w:ascii="Times New Roman" w:eastAsia="Times New Roman" w:hAnsi="Times New Roman" w:cs="Times New Roman"/>
          <w:b/>
          <w:i w:val="0"/>
          <w:sz w:val="20"/>
        </w:rPr>
      </w:pPr>
      <w:bookmarkStart w:id="2" w:name="Section4"/>
      <w:bookmarkEnd w:id="2"/>
      <w:r>
        <w:rPr>
          <w:rFonts w:ascii="Times New Roman" w:eastAsia="Times New Roman" w:hAnsi="Times New Roman" w:cs="Times New Roman"/>
          <w:b/>
          <w:i w:val="0"/>
          <w:sz w:val="20"/>
        </w:rPr>
        <w:t>SIGNATURES</w:t>
      </w:r>
    </w:p>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600"/>
        <w:gridCol w:w="9660"/>
      </w:tblGrid>
      <w:tr>
        <w:tblPrEx>
          <w:tblW w:w="10260" w:type="dxa"/>
          <w:tblLayout w:type="fixed"/>
        </w:tblPrEx>
        <w:trPr>
          <w:cantSplit/>
          <w:trHeight w:hRule="auto" w:val="0"/>
        </w:trPr>
        <w:tc>
          <w:tcPr>
            <w:tcW w:w="10260" w:type="dxa"/>
            <w:gridSpan w:val="2"/>
            <w:tcBorders>
              <w:top w:val="nil"/>
              <w:left w:val="nil"/>
              <w:bottom w:val="nil"/>
              <w:right w:val="nil"/>
            </w:tcBorders>
            <w:tcMar>
              <w:top w:w="0" w:type="dxa"/>
              <w:left w:w="53" w:type="dxa"/>
              <w:bottom w:w="0" w:type="dxa"/>
              <w:right w:w="53" w:type="dxa"/>
            </w:tcMar>
            <w:vAlign w:val="bottom"/>
          </w:tcPr>
          <w:p>
            <w:pPr>
              <w:keepNext/>
              <w:pageBreakBefore w:val="0"/>
              <w:numPr>
                <w:ilvl w:val="0"/>
                <w:numId w:val="0"/>
              </w:numPr>
              <w:spacing w:before="43" w:after="20" w:line="240" w:lineRule="auto"/>
              <w:ind w:left="0" w:right="0" w:firstLine="495"/>
              <w:jc w:val="left"/>
              <w:outlineLvl w:val="9"/>
              <w:rPr>
                <w:rFonts w:ascii="Times New Roman" w:eastAsia="Times New Roman" w:hAnsi="Times New Roman" w:cs="Times New Roman"/>
                <w:b w:val="0"/>
                <w:i w:val="0"/>
                <w:sz w:val="20"/>
              </w:rPr>
            </w:pPr>
            <w:r>
              <w:rPr>
                <w:rFonts w:ascii="Times New Roman" w:eastAsia="Times New Roman" w:hAnsi="Times New Roman" w:cs="Times New Roman"/>
                <w:b w:val="0"/>
                <w:i w:val="0"/>
                <w:sz w:val="20"/>
              </w:rPr>
              <w:t>Pursuant to the requirements of the Securities Exchange Act of 1934, the registrant has duly caused this report to be signed on its behalf by the undersigned hereunto duly authorized.</w:t>
            </w:r>
          </w:p>
        </w:tc>
      </w:tr>
      <w:tr>
        <w:tblPrEx>
          <w:tblW w:w="10260" w:type="dxa"/>
          <w:tblLayout w:type="fixed"/>
        </w:tblPrEx>
        <w:trPr>
          <w:cantSplit/>
          <w:trHeight w:hRule="auto" w:val="0"/>
        </w:trPr>
        <w:tc>
          <w:tcPr>
            <w:tcW w:w="60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966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auto" w:val="0"/>
        </w:trPr>
        <w:tc>
          <w:tcPr>
            <w:tcW w:w="60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 xml:space="preserve">Date: </w:t>
            </w:r>
          </w:p>
        </w:tc>
        <w:tc>
          <w:tcPr>
            <w:tcW w:w="9660" w:type="dxa"/>
            <w:tcBorders>
              <w:top w:val="nil"/>
              <w:left w:val="nil"/>
              <w:bottom w:val="nil"/>
              <w:right w:val="nil"/>
            </w:tcBorders>
            <w:tcMar>
              <w:top w:w="0" w:type="dxa"/>
              <w:left w:w="53" w:type="dxa"/>
              <w:bottom w:w="0" w:type="dxa"/>
              <w:right w:w="53" w:type="dxa"/>
            </w:tcMar>
            <w:vAlign w:val="bottom"/>
          </w:tcPr>
          <w:p>
            <w:pPr>
              <w:pageBreakBefore w:val="0"/>
              <w:spacing w:before="43" w:after="20" w:line="240" w:lineRule="auto"/>
              <w:jc w:val="left"/>
            </w:pPr>
            <w:r>
              <w:rPr>
                <w:rFonts w:ascii="Times New Roman" w:eastAsia="Times New Roman" w:hAnsi="Times New Roman" w:cs="Times New Roman"/>
                <w:b w:val="0"/>
                <w:i w:val="0"/>
                <w:color w:val="000000"/>
                <w:sz w:val="20"/>
                <w:u w:val="none"/>
              </w:rPr>
              <w:t>September 22, 2026</w:t>
            </w:r>
          </w:p>
        </w:tc>
      </w:tr>
    </w:tbl>
    <w:p>
      <w:pPr>
        <w:keepNext w:val="0"/>
        <w:keepLines w:val="0"/>
        <w:pageBreakBefore w:val="0"/>
        <w:widowControl/>
        <w:numPr>
          <w:ilvl w:val="0"/>
          <w:numId w:val="0"/>
        </w:numPr>
        <w:spacing w:before="0" w:after="100" w:line="240" w:lineRule="auto"/>
        <w:ind w:left="0" w:right="0" w:firstLine="0"/>
        <w:jc w:val="left"/>
        <w:outlineLvl w:val="9"/>
        <w:rPr>
          <w:rFonts w:ascii="Times New Roman" w:eastAsia="Times New Roman" w:hAnsi="Times New Roman" w:cs="Times New Roman"/>
          <w:b w:val="0"/>
          <w:i w:val="0"/>
          <w:sz w:val="24"/>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4965"/>
        <w:gridCol w:w="945"/>
        <w:gridCol w:w="4350"/>
      </w:tblGrid>
      <w:tr>
        <w:tblPrEx>
          <w:tblW w:w="10260" w:type="dxa"/>
          <w:tblLayout w:type="fixed"/>
        </w:tblPrEx>
        <w:trPr>
          <w:cantSplit/>
          <w:trHeight w:hRule="exact" w:val="25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5295" w:type="dxa"/>
            <w:gridSpan w:val="2"/>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i w:val="0"/>
                <w:color w:val="000000"/>
                <w:sz w:val="20"/>
                <w:u w:val="none"/>
              </w:rPr>
              <w:t>NN, INC.</w:t>
            </w:r>
          </w:p>
        </w:tc>
      </w:tr>
      <w:tr>
        <w:tblPrEx>
          <w:tblW w:w="10260" w:type="dxa"/>
          <w:tblLayout w:type="fixed"/>
        </w:tblPrEx>
        <w:trPr>
          <w:cantSplit/>
          <w:trHeight w:hRule="exact" w:val="300"/>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c>
          <w:tcPr>
            <w:tcW w:w="4350" w:type="dxa"/>
            <w:tcBorders>
              <w:top w:val="nil"/>
              <w:left w:val="nil"/>
              <w:bottom w:val="nil"/>
              <w:right w:val="nil"/>
            </w:tcBorders>
            <w:tcMar>
              <w:top w:w="0" w:type="dxa"/>
              <w:left w:w="0" w:type="dxa"/>
              <w:bottom w:w="0" w:type="dxa"/>
              <w:right w:w="0" w:type="dxa"/>
            </w:tcMar>
            <w:vAlign w:val="bottom"/>
          </w:tcPr>
          <w:p>
            <w:pPr>
              <w:keepNext/>
              <w:pageBreakBefore w:val="0"/>
              <w:spacing w:before="0" w:after="0"/>
              <w:rPr>
                <w:sz w:val="20"/>
              </w:rPr>
            </w:pP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By:</w:t>
            </w:r>
          </w:p>
        </w:tc>
        <w:tc>
          <w:tcPr>
            <w:tcW w:w="4350" w:type="dxa"/>
            <w:tcBorders>
              <w:top w:val="nil"/>
              <w:left w:val="nil"/>
              <w:bottom w:val="single" w:sz="8" w:space="0" w:color="000000"/>
              <w:right w:val="nil"/>
            </w:tcBorders>
            <w:tcMar>
              <w:top w:w="0" w:type="dxa"/>
              <w:left w:w="53" w:type="dxa"/>
              <w:bottom w:w="0" w:type="dxa"/>
              <w:right w:w="53" w:type="dxa"/>
            </w:tcMar>
            <w:vAlign w:val="bottom"/>
          </w:tcPr>
          <w:p>
            <w:pPr>
              <w:keepNext/>
              <w:pageBreakBefore w:val="0"/>
              <w:spacing w:before="53" w:after="30" w:line="240" w:lineRule="auto"/>
              <w:jc w:val="left"/>
            </w:pPr>
            <w:r>
              <w:rPr>
                <w:rFonts w:ascii="Times New Roman" w:eastAsia="Times New Roman" w:hAnsi="Times New Roman" w:cs="Times New Roman"/>
                <w:b w:val="0"/>
                <w:i w:val="0"/>
                <w:color w:val="000000"/>
                <w:sz w:val="20"/>
                <w:u w:val="none"/>
              </w:rPr>
              <w:t>/s/ 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keepNext/>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Name:</w:t>
            </w:r>
          </w:p>
        </w:tc>
        <w:tc>
          <w:tcPr>
            <w:tcW w:w="4350" w:type="dxa"/>
            <w:tcBorders>
              <w:top w:val="single" w:sz="8" w:space="0" w:color="000000"/>
              <w:left w:val="nil"/>
              <w:bottom w:val="nil"/>
              <w:right w:val="nil"/>
            </w:tcBorders>
            <w:tcMar>
              <w:top w:w="0" w:type="dxa"/>
              <w:left w:w="53" w:type="dxa"/>
              <w:bottom w:w="0" w:type="dxa"/>
              <w:right w:w="53" w:type="dxa"/>
            </w:tcMar>
            <w:vAlign w:val="top"/>
          </w:tcPr>
          <w:p>
            <w:pPr>
              <w:keepNext/>
              <w:pageBreakBefore w:val="0"/>
              <w:spacing w:before="33" w:after="30" w:line="240" w:lineRule="auto"/>
              <w:jc w:val="left"/>
            </w:pPr>
            <w:r>
              <w:rPr>
                <w:rFonts w:ascii="Times New Roman" w:eastAsia="Times New Roman" w:hAnsi="Times New Roman" w:cs="Times New Roman"/>
                <w:b w:val="0"/>
                <w:i w:val="0"/>
                <w:color w:val="000000"/>
                <w:sz w:val="20"/>
                <w:u w:val="none"/>
              </w:rPr>
              <w:t>Christopher H. Bohnert</w:t>
            </w:r>
          </w:p>
        </w:tc>
      </w:tr>
      <w:tr>
        <w:tblPrEx>
          <w:tblW w:w="10260" w:type="dxa"/>
          <w:tblLayout w:type="fixed"/>
        </w:tblPrEx>
        <w:trPr>
          <w:cantSplit/>
          <w:trHeight w:hRule="exact" w:val="285"/>
        </w:trPr>
        <w:tc>
          <w:tcPr>
            <w:tcW w:w="4965" w:type="dxa"/>
            <w:tcBorders>
              <w:top w:val="nil"/>
              <w:left w:val="nil"/>
              <w:bottom w:val="nil"/>
              <w:right w:val="nil"/>
            </w:tcBorders>
            <w:tcMar>
              <w:top w:w="0" w:type="dxa"/>
              <w:left w:w="0" w:type="dxa"/>
              <w:bottom w:w="0" w:type="dxa"/>
              <w:right w:w="0" w:type="dxa"/>
            </w:tcMar>
            <w:vAlign w:val="bottom"/>
          </w:tcPr>
          <w:p>
            <w:pPr>
              <w:pageBreakBefore w:val="0"/>
              <w:spacing w:before="0" w:after="0"/>
            </w:pPr>
          </w:p>
        </w:tc>
        <w:tc>
          <w:tcPr>
            <w:tcW w:w="945" w:type="dxa"/>
            <w:tcBorders>
              <w:top w:val="nil"/>
              <w:left w:val="nil"/>
              <w:bottom w:val="nil"/>
              <w:right w:val="nil"/>
            </w:tcBorders>
            <w:tcMar>
              <w:top w:w="0" w:type="dxa"/>
              <w:left w:w="53" w:type="dxa"/>
              <w:bottom w:w="0" w:type="dxa"/>
              <w:right w:w="53" w:type="dxa"/>
            </w:tcMar>
            <w:vAlign w:val="top"/>
          </w:tcPr>
          <w:p>
            <w:pPr>
              <w:pageBreakBefore w:val="0"/>
              <w:spacing w:before="53" w:after="30" w:line="240" w:lineRule="auto"/>
              <w:jc w:val="left"/>
            </w:pPr>
            <w:r>
              <w:rPr>
                <w:rFonts w:ascii="Times New Roman" w:eastAsia="Times New Roman" w:hAnsi="Times New Roman" w:cs="Times New Roman"/>
                <w:b w:val="0"/>
                <w:i w:val="0"/>
                <w:color w:val="000000"/>
                <w:sz w:val="20"/>
                <w:u w:val="none"/>
              </w:rPr>
              <w:t>Title:</w:t>
            </w:r>
          </w:p>
        </w:tc>
        <w:tc>
          <w:tcPr>
            <w:tcW w:w="4350" w:type="dxa"/>
            <w:tcBorders>
              <w:top w:val="nil"/>
              <w:left w:val="nil"/>
              <w:bottom w:val="nil"/>
              <w:right w:val="nil"/>
            </w:tcBorders>
            <w:tcMar>
              <w:top w:w="0" w:type="dxa"/>
              <w:left w:w="53" w:type="dxa"/>
              <w:bottom w:w="0" w:type="dxa"/>
              <w:right w:w="53" w:type="dxa"/>
            </w:tcMar>
            <w:vAlign w:val="bottom"/>
          </w:tcPr>
          <w:p>
            <w:pPr>
              <w:pageBreakBefore w:val="0"/>
              <w:spacing w:before="53" w:after="30" w:line="240" w:lineRule="auto"/>
              <w:jc w:val="left"/>
            </w:pPr>
            <w:r>
              <w:rPr>
                <w:rFonts w:ascii="Times New Roman" w:eastAsia="Times New Roman" w:hAnsi="Times New Roman" w:cs="Times New Roman"/>
                <w:b w:val="0"/>
                <w:i w:val="0"/>
                <w:color w:val="000000"/>
                <w:sz w:val="20"/>
                <w:u w:val="none"/>
              </w:rPr>
              <w:t>Senior Vice President and Chief Financial Officer</w:t>
            </w:r>
          </w:p>
        </w:tc>
      </w:tr>
    </w:tbl>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keepNext w:val="0"/>
        <w:keepLines w:val="0"/>
        <w:pageBreakBefore w:val="0"/>
        <w:widowControl/>
        <w:numPr>
          <w:ilvl w:val="0"/>
          <w:numId w:val="0"/>
        </w:numPr>
        <w:spacing w:before="100" w:after="0" w:line="240" w:lineRule="auto"/>
        <w:ind w:left="0" w:right="0" w:firstLine="0"/>
        <w:jc w:val="center"/>
        <w:outlineLvl w:val="9"/>
        <w:rPr>
          <w:rFonts w:ascii="Times New Roman" w:eastAsia="Times New Roman" w:hAnsi="Times New Roman" w:cs="Times New Roman"/>
          <w:b w:val="0"/>
          <w:i w:val="0"/>
          <w:sz w:val="24"/>
        </w:rPr>
      </w:pPr>
    </w:p>
    <w:p>
      <w:pPr>
        <w:sectPr>
          <w:pgSz w:w="12240" w:h="15840"/>
          <w:pgMar w:top="1440" w:right="1440" w:bottom="1440" w:left="1440" w:header="0" w:footer="0"/>
          <w:cols w:space="720"/>
        </w:sectPr>
      </w:pPr>
    </w:p>
    <w:p>
      <w:pPr>
        <w:widowControl/>
        <w:spacing w:before="0" w:after="0" w:line="240" w:lineRule="auto"/>
        <w:jc w:val="center"/>
      </w:pPr>
      <w:r>
        <w:drawing>
          <wp:inline distT="0" distB="0" distL="0" distR="0">
            <wp:extent cx="6858000" cy="8875059"/>
            <wp:effectExtent l="0" t="0" r="0" b="0"/>
            <wp:docPr id="100" name="exh991_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exh991_p1"/>
                    <pic:cNvPicPr/>
                  </pic:nvPicPr>
                  <pic:blipFill>
                    <a:blip r:embed="rId13"/>
                    <a:stretch>
                      <a:fillRect/>
                    </a:stretch>
                  </pic:blipFill>
                  <pic:spPr>
                    <a:xfrm>
                      <a:off x="0" y="0"/>
                      <a:ext cx="6858000" cy="8875059"/>
                    </a:xfrm>
                    <a:prstGeom prst="rect">
                      <a:avLst/>
                    </a:prstGeom>
                  </pic:spPr>
                </pic:pic>
              </a:graphicData>
            </a:graphic>
          </wp:inline>
        </w:drawing>
      </w:r>
    </w:p>
    <w:p>
      <w:pPr>
        <w:pageBreakBefore/>
        <w:widowControl/>
        <w:spacing w:before="0" w:after="0" w:line="240" w:lineRule="auto"/>
        <w:jc w:val="center"/>
      </w:pPr>
      <w:r>
        <w:drawing>
          <wp:inline distT="0" distB="0" distL="0" distR="0">
            <wp:extent cx="6858000" cy="8875059"/>
            <wp:effectExtent l="0" t="0" r="0" b="0"/>
            <wp:docPr id="101" name="exh991_p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exh991_p2"/>
                    <pic:cNvPicPr/>
                  </pic:nvPicPr>
                  <pic:blipFill>
                    <a:blip r:embed="rId14"/>
                    <a:stretch>
                      <a:fillRect/>
                    </a:stretch>
                  </pic:blipFill>
                  <pic:spPr>
                    <a:xfrm>
                      <a:off x="0" y="0"/>
                      <a:ext cx="6858000" cy="8875059"/>
                    </a:xfrm>
                    <a:prstGeom prst="rect">
                      <a:avLst/>
                    </a:prstGeom>
                  </pic:spPr>
                </pic:pic>
              </a:graphicData>
            </a:graphic>
          </wp:inline>
        </w:drawing>
      </w:r>
    </w:p>
    <w:p>
      <w:pPr>
        <w:sectPr>
          <w:pgSz w:w="12240" w:h="15840"/>
          <w:pgMar w:top="720" w:right="720" w:bottom="720" w:left="720" w:header="0" w:footer="0" w:gutter="0"/>
          <w:cols w:space="720"/>
          <w:docGrid w:linePitch="360"/>
        </w:sectPr>
      </w:pPr>
    </w:p>
    <w:p>
      <w:pPr>
        <w:widowControl/>
        <w:spacing w:before="0" w:after="0" w:line="240" w:lineRule="auto"/>
        <w:jc w:val="center"/>
      </w:pPr>
      <w:r>
        <w:drawing>
          <wp:inline distT="0" distB="0" distL="0" distR="0">
            <wp:extent cx="9144000" cy="5143500"/>
            <wp:effectExtent l="0" t="0" r="0" b="0"/>
            <wp:docPr id="102" name="exh992_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exh992_s01"/>
                    <pic:cNvPicPr/>
                  </pic:nvPicPr>
                  <pic:blipFill>
                    <a:blip r:embed="rId15"/>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3" name="exh992_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exh992_s02"/>
                    <pic:cNvPicPr/>
                  </pic:nvPicPr>
                  <pic:blipFill>
                    <a:blip r:embed="rId16"/>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4" name="exh992_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exh992_s03"/>
                    <pic:cNvPicPr/>
                  </pic:nvPicPr>
                  <pic:blipFill>
                    <a:blip r:embed="rId17"/>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5" name="exh992_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exh992_s04"/>
                    <pic:cNvPicPr/>
                  </pic:nvPicPr>
                  <pic:blipFill>
                    <a:blip r:embed="rId18"/>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6" name="exh992_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exh992_s05"/>
                    <pic:cNvPicPr/>
                  </pic:nvPicPr>
                  <pic:blipFill>
                    <a:blip r:embed="rId19"/>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7" name="exh992_s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exh992_s06"/>
                    <pic:cNvPicPr/>
                  </pic:nvPicPr>
                  <pic:blipFill>
                    <a:blip r:embed="rId20"/>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8" name="exh992_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exh992_s07"/>
                    <pic:cNvPicPr/>
                  </pic:nvPicPr>
                  <pic:blipFill>
                    <a:blip r:embed="rId21"/>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09" name="exh992_s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exh992_s08"/>
                    <pic:cNvPicPr/>
                  </pic:nvPicPr>
                  <pic:blipFill>
                    <a:blip r:embed="rId22"/>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0" name="exh992_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exh992_s09"/>
                    <pic:cNvPicPr/>
                  </pic:nvPicPr>
                  <pic:blipFill>
                    <a:blip r:embed="rId23"/>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1" name="exh992_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exh992_s10"/>
                    <pic:cNvPicPr/>
                  </pic:nvPicPr>
                  <pic:blipFill>
                    <a:blip r:embed="rId24"/>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2" name="exh992_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exh992_s11"/>
                    <pic:cNvPicPr/>
                  </pic:nvPicPr>
                  <pic:blipFill>
                    <a:blip r:embed="rId25"/>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3" name="exh992_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exh992_s12"/>
                    <pic:cNvPicPr/>
                  </pic:nvPicPr>
                  <pic:blipFill>
                    <a:blip r:embed="rId26"/>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4" name="exh992_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exh992_s13"/>
                    <pic:cNvPicPr/>
                  </pic:nvPicPr>
                  <pic:blipFill>
                    <a:blip r:embed="rId27"/>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5" name="exh992_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exh992_s14"/>
                    <pic:cNvPicPr/>
                  </pic:nvPicPr>
                  <pic:blipFill>
                    <a:blip r:embed="rId28"/>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6" name="exh992_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exh992_s15"/>
                    <pic:cNvPicPr/>
                  </pic:nvPicPr>
                  <pic:blipFill>
                    <a:blip r:embed="rId29"/>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7" name="exh992_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exh992_s16"/>
                    <pic:cNvPicPr/>
                  </pic:nvPicPr>
                  <pic:blipFill>
                    <a:blip r:embed="rId30"/>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8" name="exh992_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exh992_s17"/>
                    <pic:cNvPicPr/>
                  </pic:nvPicPr>
                  <pic:blipFill>
                    <a:blip r:embed="rId31"/>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19" name="exh992_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exh992_s18"/>
                    <pic:cNvPicPr/>
                  </pic:nvPicPr>
                  <pic:blipFill>
                    <a:blip r:embed="rId32"/>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0" name="exh992_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exh992_s19"/>
                    <pic:cNvPicPr/>
                  </pic:nvPicPr>
                  <pic:blipFill>
                    <a:blip r:embed="rId33"/>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1" name="exh992_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exh992_s20"/>
                    <pic:cNvPicPr/>
                  </pic:nvPicPr>
                  <pic:blipFill>
                    <a:blip r:embed="rId34"/>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2" name="exh992_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exh992_s21"/>
                    <pic:cNvPicPr/>
                  </pic:nvPicPr>
                  <pic:blipFill>
                    <a:blip r:embed="rId35"/>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3" name="exh992_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exh992_s22"/>
                    <pic:cNvPicPr/>
                  </pic:nvPicPr>
                  <pic:blipFill>
                    <a:blip r:embed="rId36"/>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4" name="exh992_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exh992_s23"/>
                    <pic:cNvPicPr/>
                  </pic:nvPicPr>
                  <pic:blipFill>
                    <a:blip r:embed="rId37"/>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5" name="exh992_s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exh992_s24"/>
                    <pic:cNvPicPr/>
                  </pic:nvPicPr>
                  <pic:blipFill>
                    <a:blip r:embed="rId38"/>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6" name="exh992_s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exh992_s25"/>
                    <pic:cNvPicPr/>
                  </pic:nvPicPr>
                  <pic:blipFill>
                    <a:blip r:embed="rId39"/>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7" name="exh992_s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exh992_s26"/>
                    <pic:cNvPicPr/>
                  </pic:nvPicPr>
                  <pic:blipFill>
                    <a:blip r:embed="rId40"/>
                    <a:stretch>
                      <a:fillRect/>
                    </a:stretch>
                  </pic:blipFill>
                  <pic:spPr>
                    <a:xfrm>
                      <a:off x="0" y="0"/>
                      <a:ext cx="9144000" cy="5143500"/>
                    </a:xfrm>
                    <a:prstGeom prst="rect">
                      <a:avLst/>
                    </a:prstGeom>
                  </pic:spPr>
                </pic:pic>
              </a:graphicData>
            </a:graphic>
          </wp:inline>
        </w:drawing>
      </w:r>
    </w:p>
    <w:p>
      <w:pPr>
        <w:pageBreakBefore/>
        <w:widowControl/>
        <w:spacing w:before="0" w:after="0" w:line="240" w:lineRule="auto"/>
        <w:jc w:val="center"/>
      </w:pPr>
      <w:r>
        <w:drawing>
          <wp:inline distT="0" distB="0" distL="0" distR="0">
            <wp:extent cx="9144000" cy="5143500"/>
            <wp:effectExtent l="0" t="0" r="0" b="0"/>
            <wp:docPr id="128" name="exh992_s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exh992_s27"/>
                    <pic:cNvPicPr/>
                  </pic:nvPicPr>
                  <pic:blipFill>
                    <a:blip r:embed="rId41"/>
                    <a:stretch>
                      <a:fillRect/>
                    </a:stretch>
                  </pic:blipFill>
                  <pic:spPr>
                    <a:xfrm>
                      <a:off x="0" y="0"/>
                      <a:ext cx="9144000" cy="5143500"/>
                    </a:xfrm>
                    <a:prstGeom prst="rect">
                      <a:avLst/>
                    </a:prstGeom>
                  </pic:spPr>
                </pic:pic>
              </a:graphicData>
            </a:graphic>
          </wp:inline>
        </w:drawing>
      </w:r>
    </w:p>
    <w:sectPr>
      <w:pgSz w:w="15840" w:h="12240" w:orient="landscape"/>
      <w:pgMar w:top="1944" w:right="720" w:bottom="1944" w:left="720" w:header="0" w:footer="0" w:gutter="0"/>
      <w:cols w:space="720"/>
      <w:vAlign w:val="cen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tabs>
        <w:tab w:val="center" w:pos="4680"/>
        <w:tab w:val="right" w:pos="9360"/>
      </w:tabs>
      <w:spacing w:before="0" w:after="0" w:line="288" w:lineRule="auto"/>
      <w:ind w:left="0" w:right="0" w:firstLine="0"/>
      <w:jc w:val="left"/>
      <w:outlineLvl w:val="9"/>
      <w:rPr>
        <w:rFonts w:ascii="Times New Roman" w:eastAsia="Times New Roman" w:hAnsi="Times New Roman" w:cs="Times New Roman"/>
        <w:b w:val="0"/>
        <w:i w:val="0"/>
        <w:color w:val="000000"/>
        <w:sz w:val="24"/>
        <w:u w:val="none"/>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240" w:lineRule="auto"/>
      <w:ind w:left="0" w:right="0" w:firstLine="0"/>
      <w:jc w:val="left"/>
      <w:outlineLvl w:val="9"/>
      <w:rPr>
        <w:rFonts w:ascii="Times New Roman" w:eastAsia="Times New Roman" w:hAnsi="Times New Roman" w:cs="Times New Roman"/>
        <w:b w:val="0"/>
        <w:i w:val="0"/>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utlinearabic">
    <w:name w:val="outline.arabic"/>
    <w:pPr>
      <w:numPr>
        <w:numId w:val="3"/>
      </w:numPr>
    </w:pPr>
  </w:style>
  <w:style w:type="paragraph" w:customStyle="1" w:styleId="Normal-wk">
    <w:name w:val="Normal-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styleId="Footer">
    <w:name w:val="footer"/>
    <w:basedOn w:val="Normal"/>
    <w:link w:val="FooterChar"/>
    <w:uiPriority w:val="99"/>
    <w:rsid w:val="000F3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DF7"/>
  </w:style>
  <w:style w:type="paragraph" w:customStyle="1" w:styleId="Footer-wk">
    <w:name w:val="Footer-wk"/>
    <w:qFormat/>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4"/>
    </w:rPr>
  </w:style>
  <w:style w:type="paragraph" w:customStyle="1" w:styleId="MacPacTrailer">
    <w:name w:val="MacPac Trailer"/>
    <w:qFormat/>
    <w:pPr>
      <w:keepNext w:val="0"/>
      <w:keepLines w:val="0"/>
      <w:spacing w:before="0" w:after="0" w:line="341" w:lineRule="auto"/>
      <w:ind w:left="0" w:firstLine="0"/>
      <w:jc w:val="left"/>
    </w:pPr>
    <w:rPr>
      <w:rFonts w:ascii="Arial" w:eastAsia="Arial" w:hAnsi="Arial" w:cs="Arial"/>
      <w:b w:val="0"/>
      <w:i w:val="0"/>
      <w:color w:val="000000"/>
      <w:spacing w:val="0"/>
      <w:sz w:val="14"/>
    </w:rPr>
  </w:style>
  <w:style w:type="table" w:customStyle="1" w:styleId="TableNormal-W">
    <w:name w:val="Table Normal-W"/>
    <w:pPr>
      <w:keepNext w:val="0"/>
      <w:keepLines w:val="0"/>
      <w:spacing w:before="0" w:after="0" w:line="240" w:lineRule="auto"/>
      <w:ind w:left="0" w:firstLine="0"/>
      <w:jc w:val="left"/>
    </w:pPr>
    <w:rPr>
      <w:rFonts w:ascii="Times New Roman" w:eastAsia="Times New Roman" w:hAnsi="Times New Roman" w:cs="Times New Roman"/>
      <w:b w:val="0"/>
      <w:i w:val="0"/>
      <w:color w:val="000000"/>
      <w:spacing w:val="0"/>
      <w:sz w:val="20"/>
    </w:rPr>
    <w:tblPr/>
  </w:style>
  <w:style w:type="character" w:styleId="LineNumber">
    <w:name w:val="line number"/>
    <w:basedOn w:val="DefaultParagraphFont"/>
    <w:uiPriority w:val="99"/>
    <w:rsid w:val="0041372D"/>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yperlink" Target="nnincraisesfull-year2026.htm" TargetMode="External" /><Relationship Id="rId9" Type="http://schemas.openxmlformats.org/officeDocument/2006/relationships/hyperlink" Target="nnincinvestorpresentatio.htm" TargetMode="External" /><Relationship Id="rId13" Type="http://schemas.openxmlformats.org/officeDocument/2006/relationships/image" Target="media/exh991_p1.png" /><Relationship Id="rId14" Type="http://schemas.openxmlformats.org/officeDocument/2006/relationships/image" Target="media/exh991_p2.png" /><Relationship Id="rId15" Type="http://schemas.openxmlformats.org/officeDocument/2006/relationships/image" Target="media/exh992_s01.png" /><Relationship Id="rId16" Type="http://schemas.openxmlformats.org/officeDocument/2006/relationships/image" Target="media/exh992_s02.png" /><Relationship Id="rId17" Type="http://schemas.openxmlformats.org/officeDocument/2006/relationships/image" Target="media/exh992_s03.png" /><Relationship Id="rId18" Type="http://schemas.openxmlformats.org/officeDocument/2006/relationships/image" Target="media/exh992_s04.png" /><Relationship Id="rId19" Type="http://schemas.openxmlformats.org/officeDocument/2006/relationships/image" Target="media/exh992_s05.png" /><Relationship Id="rId20" Type="http://schemas.openxmlformats.org/officeDocument/2006/relationships/image" Target="media/exh992_s06.png" /><Relationship Id="rId21" Type="http://schemas.openxmlformats.org/officeDocument/2006/relationships/image" Target="media/exh992_s07.png" /><Relationship Id="rId22" Type="http://schemas.openxmlformats.org/officeDocument/2006/relationships/image" Target="media/exh992_s08.png" /><Relationship Id="rId23" Type="http://schemas.openxmlformats.org/officeDocument/2006/relationships/image" Target="media/exh992_s09.png" /><Relationship Id="rId24" Type="http://schemas.openxmlformats.org/officeDocument/2006/relationships/image" Target="media/exh992_s10.png" /><Relationship Id="rId25" Type="http://schemas.openxmlformats.org/officeDocument/2006/relationships/image" Target="media/exh992_s11.png" /><Relationship Id="rId26" Type="http://schemas.openxmlformats.org/officeDocument/2006/relationships/image" Target="media/exh992_s12.png" /><Relationship Id="rId27" Type="http://schemas.openxmlformats.org/officeDocument/2006/relationships/image" Target="media/exh992_s13.png" /><Relationship Id="rId28" Type="http://schemas.openxmlformats.org/officeDocument/2006/relationships/image" Target="media/exh992_s14.png" /><Relationship Id="rId29" Type="http://schemas.openxmlformats.org/officeDocument/2006/relationships/image" Target="media/exh992_s15.png" /><Relationship Id="rId30" Type="http://schemas.openxmlformats.org/officeDocument/2006/relationships/image" Target="media/exh992_s16.png" /><Relationship Id="rId31" Type="http://schemas.openxmlformats.org/officeDocument/2006/relationships/image" Target="media/exh992_s17.png" /><Relationship Id="rId32" Type="http://schemas.openxmlformats.org/officeDocument/2006/relationships/image" Target="media/exh992_s18.png" /><Relationship Id="rId33" Type="http://schemas.openxmlformats.org/officeDocument/2006/relationships/image" Target="media/exh992_s19.png" /><Relationship Id="rId34" Type="http://schemas.openxmlformats.org/officeDocument/2006/relationships/image" Target="media/exh992_s20.png" /><Relationship Id="rId35" Type="http://schemas.openxmlformats.org/officeDocument/2006/relationships/image" Target="media/exh992_s21.png" /><Relationship Id="rId36" Type="http://schemas.openxmlformats.org/officeDocument/2006/relationships/image" Target="media/exh992_s22.png" /><Relationship Id="rId37" Type="http://schemas.openxmlformats.org/officeDocument/2006/relationships/image" Target="media/exh992_s23.png" /><Relationship Id="rId38" Type="http://schemas.openxmlformats.org/officeDocument/2006/relationships/image" Target="media/exh992_s24.png" /><Relationship Id="rId39" Type="http://schemas.openxmlformats.org/officeDocument/2006/relationships/image" Target="media/exh992_s25.png" /><Relationship Id="rId40" Type="http://schemas.openxmlformats.org/officeDocument/2006/relationships/image" Target="media/exh992_s26.png" /><Relationship Id="rId41" Type="http://schemas.openxmlformats.org/officeDocument/2006/relationships/image" Target="media/exh992_s2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 - Form 8-K 2026-09-22 Investor Conference (D.A. Davidson)</dc:title>
  <cp:revision>1</cp:revision>
</cp:coreProperties>
</file>