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8, 2019 (November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243840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432435</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62-1096725</w:t>
      </w:r>
    </w:p>
    <w:p>
      <w:pPr>
        <w:spacing w:after="0" w:line="12" w:lineRule="exact"/>
        <w:rPr>
          <w:sz w:val="24"/>
          <w:szCs w:val="24"/>
          <w:color w:val="auto"/>
        </w:rPr>
      </w:pPr>
    </w:p>
    <w:p>
      <w:pPr>
        <w:sectPr>
          <w:pgSz w:w="11900" w:h="16838" w:orient="portrait"/>
          <w:cols w:equalWidth="0" w:num="3">
            <w:col w:w="4520" w:space="720"/>
            <w:col w:w="2860" w:space="720"/>
            <w:col w:w="2220"/>
          </w:cols>
          <w:pgMar w:left="440" w:top="362" w:right="41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340"/>
          </w:cols>
          <w:pgMar w:left="440" w:top="362" w:right="419" w:bottom="1440" w:gutter="0" w:footer="0" w:header="0"/>
          <w:type w:val="continuous"/>
        </w:sectPr>
      </w:pPr>
    </w:p>
    <w:p>
      <w:pPr>
        <w:spacing w:after="0" w:line="2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6210 Ardrey Kell Road</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28277</w:t>
      </w:r>
    </w:p>
    <w:p>
      <w:pPr>
        <w:spacing w:after="0" w:line="31" w:lineRule="exact"/>
        <w:rPr>
          <w:sz w:val="24"/>
          <w:szCs w:val="24"/>
          <w:color w:val="auto"/>
        </w:rPr>
      </w:pPr>
    </w:p>
    <w:p>
      <w:pPr>
        <w:sectPr>
          <w:pgSz w:w="11900" w:h="16838" w:orient="portrait"/>
          <w:cols w:equalWidth="0" w:num="2">
            <w:col w:w="7400" w:space="720"/>
            <w:col w:w="2920"/>
          </w:cols>
          <w:pgMar w:left="440" w:top="362" w:right="41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300" w:space="720"/>
            <w:col w:w="3020"/>
          </w:cols>
          <w:pgMar w:left="440" w:top="362" w:right="4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040"/>
          </w:cols>
          <w:pgMar w:left="440" w:top="362" w:right="419" w:bottom="1440" w:gutter="0" w:footer="0" w:header="0"/>
          <w:type w:val="continuous"/>
        </w:sectPr>
      </w:pPr>
    </w:p>
    <w:p>
      <w:pPr>
        <w:spacing w:after="0" w:line="1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230505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NNBR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7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620" w:firstLine="441"/>
        <w:spacing w:after="0" w:line="282" w:lineRule="auto"/>
        <w:rPr>
          <w:sz w:val="20"/>
          <w:szCs w:val="20"/>
          <w:color w:val="auto"/>
        </w:rPr>
      </w:pPr>
      <w:r>
        <w:rPr>
          <w:rFonts w:ascii="Times New Roman" w:cs="Times New Roman" w:eastAsia="Times New Roman" w:hAnsi="Times New Roman"/>
          <w:sz w:val="18"/>
          <w:szCs w:val="18"/>
          <w:color w:val="auto"/>
        </w:rPr>
        <w:t>On November 7, 2019, NN, Inc. (the “Company”) issued a press release announcing the Company’s financial results for the quarter ended September 30, 2019. The full text of the press release is furnished as Exhibit 99.1 and is incorporated herein by reference.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rules and regulations of the U.S. Securities and Exchange Commission (the “SEC”), the information furnished pursuant to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 of this Current Report on Form 8-K (including Exhibit 99.1) is deemed to have been furnished and shall not be deemed to be “filed”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18 of the Securities Exchange Act of 1934, as amended, or otherwise subject to the liabilities of that section. Such information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into any filing of the Company, whether made before or after the date hereof, regardless of any general incorporation language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filing.</w:t>
      </w:r>
    </w:p>
    <w:p>
      <w:pPr>
        <w:spacing w:after="0" w:line="351" w:lineRule="exact"/>
        <w:rPr>
          <w:sz w:val="20"/>
          <w:szCs w:val="20"/>
          <w:color w:val="auto"/>
        </w:rPr>
      </w:pPr>
    </w:p>
    <w:p>
      <w:pPr>
        <w:ind w:left="1200" w:right="120" w:hanging="1201"/>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320" w:firstLine="441"/>
        <w:spacing w:after="0" w:line="266" w:lineRule="auto"/>
        <w:rPr>
          <w:sz w:val="20"/>
          <w:szCs w:val="20"/>
          <w:color w:val="auto"/>
        </w:rPr>
      </w:pPr>
      <w:r>
        <w:rPr>
          <w:rFonts w:ascii="Times New Roman" w:cs="Times New Roman" w:eastAsia="Times New Roman" w:hAnsi="Times New Roman"/>
          <w:sz w:val="18"/>
          <w:szCs w:val="18"/>
          <w:color w:val="auto"/>
        </w:rPr>
        <w:t>On November 7, 2019, Janice E. Stipp notified the Company of her decision to resign from the Company’s Board of Directors (the “Board”), effective November 14, 2019. Ms. Stipp’s resignation from the Board was for personal reasons and is not the result of any disagreement with management, the Company or its operations, policies or practices. The Board has commenced a search to fill the vacancy created by her resignation.</w:t>
      </w:r>
    </w:p>
    <w:p>
      <w:pPr>
        <w:spacing w:after="0" w:line="32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ind w:left="440" w:hanging="436"/>
        <w:spacing w:after="0"/>
        <w:tabs>
          <w:tab w:leader="none" w:pos="4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8"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issued by NN, Inc., dated November 7, 2019</w:t>
        </w:r>
      </w:hyperlink>
    </w:p>
    <w:p>
      <w:pPr>
        <w:sectPr>
          <w:pgSz w:w="11900" w:h="16838" w:orient="portrait"/>
          <w:cols w:equalWidth="0" w:num="1">
            <w:col w:w="11020"/>
          </w:cols>
          <w:pgMar w:left="440" w:top="266"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S. Heiter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General Counsel</w:t>
      </w:r>
    </w:p>
    <w:p>
      <w:pPr>
        <w:sectPr>
          <w:pgSz w:w="11900" w:h="16838" w:orient="portrait"/>
          <w:cols w:equalWidth="0" w:num="1">
            <w:col w:w="10720"/>
          </w:cols>
          <w:pgMar w:left="440" w:top="266"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328930</wp:posOffset>
            </wp:positionV>
            <wp:extent cx="823595"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3595" cy="797560"/>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174625</wp:posOffset>
            </wp:positionV>
            <wp:extent cx="184404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40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 NN,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6210 Ardrey Kell Road</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ABERNATHY MACGREGOR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Walsh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371-5999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2019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REPORTS THIRD QUARTER 2019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Increased 4% to $213.9 Million, Driven by Organic Growth in Life Sciences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Company Commences Strategic Review to Drive Increased Value for Shareholders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Charlotte, NC, November 7, 2019 –</w:t>
      </w:r>
      <w:r>
        <w:rPr>
          <w:rFonts w:ascii="Times New Roman" w:cs="Times New Roman" w:eastAsia="Times New Roman" w:hAnsi="Times New Roman"/>
          <w:sz w:val="18"/>
          <w:szCs w:val="18"/>
          <w:color w:val="auto"/>
        </w:rPr>
        <w:t>NN, Inc., (NASDAQ: NNBR), a diversified industrial company, today reported its financial results for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September 30, 2019. The Company also announced that it has retained J.P. Morgan to conduct a full strategic review aimed at identifying and exploring opportunities for NN to drive increased value for shareholders.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GAAP Results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GAAP net sales grew $8.2 million, or 4%, to $213.9 million, compared to $205.7 million for the third quarter of 2018. The increase was primarily driven by organic growth of $9.0 million due to higher core volume in the Life Sciences business as well as $0.6 million of net sales attributable to the Technical Arts acquisition. Net sales were partially offset by lower demand within the automotive end market in the Mobile Solutions business and unfavorable foreign exchange effects of $1.4 million, primarily in Europe and China.</w:t>
      </w:r>
    </w:p>
    <w:p>
      <w:pPr>
        <w:spacing w:after="0" w:line="1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Third quarter 2019 GAAP income from operations was $7.7 million, compared to $5.9 million for the same period in 2018. Reduction in acquisition related expenses of $0.6 million, along with margin improvement associated with Life Sciences organic growth and synergy capture initiatives, were partially offset by increases in depreciation and amortization of $1.4 million.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Third quarter 2019 GAAP net loss was $5.6 million, compared to GAAP net loss of $13.8 million in the third quarter of 2018. The improvement was driven by an increase in operating income of $1.8 million along with a reduction of $3.9 million in interest expense and write-off of debt issuance costs of $6.6 million, which was partially offset by an unfavorable $4.3 million year over year decrease in income tax benefit.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Results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Adjusted EBITDA was $40.2 million or 18.8% of sales versus $37.4 million, or 18.2% of sales in the prior year. Adjusted income from operations for the third quarter of 2019 was $27.5 million, compared to $26.4 million for the same period</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2018. Adjusted net income was $11.4 million, or $0.27 per diluted share, compared to $8.7 million, or $0.30 per diluted share, for the same period in 2018. Adjusted income from operations growth was primarily driven by increased organic volume and overall cost reduction initiatives. Third quarter 2019 free cash flow was $17.5 million and was positively impacted by lower working capital and lower capital expenditures. Net debt decreased by $9.0 million in the third quarter of 2019 to $855.0 million from $864.0 million in the same period a year ago.</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Warren Veltman, Interim President and Chief Executive Officer, commented, “We continue to see strong potential in our businesses and end markets, particularly in Life Sciences, where demand is driving margin strength and expansion, and Power Solutions, which is benefitting from growth associated with smart meters and our acquisition of Technical Arts. Mobile Solutions faces ongoing headwinds, which we anticipate will continue over the next few quarters, but we are squarely focused on reducing fixed costs and optimizing our facilities footprint to offset the impact of lower sales.</w:t>
      </w:r>
    </w:p>
    <w:p>
      <w:pPr>
        <w:spacing w:after="0" w:line="180" w:lineRule="exact"/>
        <w:rPr>
          <w:sz w:val="20"/>
          <w:szCs w:val="20"/>
          <w:color w:val="auto"/>
        </w:rPr>
      </w:pPr>
    </w:p>
    <w:p>
      <w:pPr>
        <w:jc w:val="both"/>
        <w:ind w:right="300"/>
        <w:spacing w:after="0" w:line="289" w:lineRule="auto"/>
        <w:rPr>
          <w:sz w:val="20"/>
          <w:szCs w:val="20"/>
          <w:color w:val="auto"/>
        </w:rPr>
      </w:pPr>
      <w:r>
        <w:rPr>
          <w:rFonts w:ascii="Times New Roman" w:cs="Times New Roman" w:eastAsia="Times New Roman" w:hAnsi="Times New Roman"/>
          <w:sz w:val="17"/>
          <w:szCs w:val="17"/>
          <w:color w:val="auto"/>
        </w:rPr>
        <w:t>At the same time, we are actively identifying opportunities to improve our overall financial performance and put the right cost structure in place. We announced expense reduction and cash savings initiatives last month, which we expect will generate cash savings of $32 million per year. Lastly, we have engaged outside advisors in a process to review our portfolio and explore strategic options to ensure we are delivering shareholder value.”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Sciences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sales for the third quarter of 2019 were $94.0 million, compared to $78.4 million in the third quarter of 2018, an increase of 20.0% or $15.6 million. Adjusted income from operations for the quarter was $20.5 million, compared to $16.2 million in the third quarter of 2018. Performance was driven primarily by increased core volumes in the orthopaedic and delivery systems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Mobile Solutions</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Net sales for the third quarter of 2019 were $73.1 million, compared to $81.8 million in the third quarter of 2018, a decrease of 10.7% or $8.7 million. Adjusted income from operations for the quarter was $5.0 million, compared to $6.6 million in the third quarter of 2018. The recently concluded United Auto Workers strike, coupled with lower demand in the North American automotive market and unfavorable foreign exchange effects drove the decline.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Power Solutions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sales for the third quarter of 2019 were $47.4 million, compared to $46.1 million in the third quarter of 2018, an increase of 2.9% or $1.3 million. Adjusted income from operations for the quarter was $8.5 million, compared to $7.9 million in the third quarter of 2018. Strong demand for smart meter products and the Technical Arts acquisition drove the increase.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Review</w:t>
      </w:r>
    </w:p>
    <w:p>
      <w:pPr>
        <w:spacing w:after="0" w:line="12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Company will evaluate a broad range of operational, financial and strategic options to reduce leverage and enhance shareholder value. NN has retained J.P. Morgan as its financial advisor and Simpson Thacher &amp; Bartlett as its legal advisor to assist with this evaluation. The strategic options include further cost savings and cash generation initiatives, capital allocation opportunities, and the sale of part or all of NN, among others. There can be no assurance that the Company will pursue any particular action or transaction; however, NN will assess all viable paths to enhancing shareholder value. NN does not intend to provide updates regarding its strategic review unless or until it determines that further disclosure is necessary.</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Developments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also announced that Janice Stipp is stepping down from the NN Board of Directors, effective November 14, 2019. Ms. Stipp is departing for personal reasons. “During Janice’s tenure with NN, she has provided valuable insights with respect to financial and accounting matters and our recent executive management changes,” said Robert Brunner, Chairman of the Board. “We thank her for her contributions to NN and wish her all the best.” The board has commenced a search to fill the vacant board seat.</w:t>
      </w:r>
    </w:p>
    <w:p>
      <w:pPr>
        <w:spacing w:after="0" w:line="180" w:lineRule="exact"/>
        <w:rPr>
          <w:sz w:val="20"/>
          <w:szCs w:val="20"/>
          <w:color w:val="auto"/>
        </w:rPr>
      </w:pPr>
    </w:p>
    <w:p>
      <w:pPr>
        <w:ind w:right="280" w:firstLine="4"/>
        <w:spacing w:after="0" w:line="289" w:lineRule="auto"/>
        <w:tabs>
          <w:tab w:leader="none" w:pos="30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will discuss its results during its quarterly investor conference call on November 8, 2019 at 9:00 a.m. ET. The call and supplemental presentation may be accessed via NN’s website, </w:t>
      </w:r>
      <w:r>
        <w:rPr>
          <w:rFonts w:ascii="Times New Roman" w:cs="Times New Roman" w:eastAsia="Times New Roman" w:hAnsi="Times New Roman"/>
          <w:sz w:val="17"/>
          <w:szCs w:val="17"/>
          <w:u w:val="single" w:color="auto"/>
          <w:color w:val="auto"/>
        </w:rPr>
        <w:t>www.nninc.com</w:t>
      </w:r>
      <w:r>
        <w:rPr>
          <w:rFonts w:ascii="Times New Roman" w:cs="Times New Roman" w:eastAsia="Times New Roman" w:hAnsi="Times New Roman"/>
          <w:sz w:val="17"/>
          <w:szCs w:val="17"/>
          <w:color w:val="auto"/>
        </w:rPr>
        <w:t>. The conference call can also be accessed by dialing 1-800-353-6461 or 1-334-323-0501 Conference ID: 5526885. For those who are unavailable to listen to the live broadcast, a replay will be available shortly after the call for 30 days.</w:t>
      </w:r>
    </w:p>
    <w:p>
      <w:pPr>
        <w:spacing w:after="0" w:line="158" w:lineRule="exact"/>
        <w:rPr>
          <w:sz w:val="20"/>
          <w:szCs w:val="20"/>
          <w:color w:val="auto"/>
        </w:rPr>
      </w:pPr>
    </w:p>
    <w:p>
      <w:pPr>
        <w:ind w:firstLine="4"/>
        <w:spacing w:after="0" w:line="258"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discloses in this press release the non-GAAP financial measures of adjusted income from operations, adjusted EBITDA, adjusted net income (loss), adjusted net income per diluted share, free cash flow and net debt. Each of adjusted income from operations, adjusted EBITDA, adjusted net income (loss), adjusted net income per diluted share and free cash flow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 Net debt is defined as debt and finance leases less cash.</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financial tables found later in this press release include a reconciliation of adjusted income from operations, adjusted EBITDA, adjusted net income (loss), adjusted net income (loss) per diluted share and free cash flow to the U.S. GAAP financial measures of income from operations, net income (loss), net income (loss) per diluted share and net cash provided by (used in) operating activities.</w:t>
      </w:r>
    </w:p>
    <w:p>
      <w:pPr>
        <w:spacing w:after="0" w:line="17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7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9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and the Company’s Quarterly Report on Form 10-Q for the three months ended September 30, 2019. Except as required by law, we undertake no obligation to update or revise any forward-looking statements we make in our press releases, whether as a result of new information, future events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ectPr>
          <w:pgSz w:w="11900" w:h="16838" w:orient="portrait"/>
          <w:cols w:equalWidth="0" w:num="1">
            <w:col w:w="11020"/>
          </w:cols>
          <w:pgMar w:left="440" w:top="266"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213,897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205,683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648,819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571,180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160,816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156,408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485,598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431,492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related costs excluded from selling, general and administrative expense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benefit for income taxes and share of net income from joint venture</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(19,659)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(29,704)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(58,753)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(13,784)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(44,796)</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 in fair value of interest rate swap, net of tax</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reclassification adjustment for (gains) losses included in net income, net of tax</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per share: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loss per share: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per share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6" w:right="4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tax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1,553,745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1,502,901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65,534</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income tax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1,081,631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6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Common stock - $0.01 par value per share, authorized 90,000 shares, 42,297 and 42,104 shares issued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outstanding at September 30, 2019, and December 31, 2018,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Retained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(98,888)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1,553,745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1,502,901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66" w:right="4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9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8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$(30,894)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by)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Share of net income from joint venture, net of cash dividends received</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Compensation expense from issuance of share-based awards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(9,929)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(13,215)</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liquidation of short-term investment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to acquire businesses, net of cash received</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(399,011)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(445,359)</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debt issuance or prepayment costs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(8,879)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shares</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(repayments of) short-term debt, net</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(206,657)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$ 24,409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66" w:right="4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$000s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$000s</w:t>
            </w:r>
          </w:p>
        </w:tc>
        <w:tc>
          <w:tcPr>
            <w:tcW w:w="100" w:type="dxa"/>
            <w:vAlign w:val="bottom"/>
          </w:tcPr>
          <w:p>
            <w:pPr>
              <w:spacing w:after="0"/>
              <w:rPr>
                <w:sz w:val="13"/>
                <w:szCs w:val="13"/>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3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6"/>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3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NN, Inc. Consolidated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Power Solutions</w:t>
            </w:r>
          </w:p>
        </w:tc>
        <w:tc>
          <w:tcPr>
            <w:tcW w:w="10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 from operations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integration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integration expense</w:t>
            </w: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transition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2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adjusted income from</w:t>
            </w: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adjusted income from</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operations (a)</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27,516</w:t>
            </w:r>
          </w:p>
        </w:tc>
        <w:tc>
          <w:tcPr>
            <w:tcW w:w="2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26,370</w:t>
            </w:r>
          </w:p>
        </w:tc>
        <w:tc>
          <w:tcPr>
            <w:tcW w:w="220" w:type="dxa"/>
            <w:vAlign w:val="bottom"/>
            <w:shd w:val="clear" w:color="auto" w:fill="CCEEFF"/>
          </w:tcPr>
          <w:p>
            <w:pPr>
              <w:spacing w:after="0"/>
              <w:rPr>
                <w:sz w:val="20"/>
                <w:szCs w:val="20"/>
                <w:color w:val="auto"/>
              </w:rPr>
            </w:pPr>
          </w:p>
        </w:tc>
        <w:tc>
          <w:tcPr>
            <w:tcW w:w="320" w:type="dxa"/>
            <w:vAlign w:val="bottom"/>
          </w:tcPr>
          <w:p>
            <w:pPr>
              <w:spacing w:after="0"/>
              <w:rPr>
                <w:sz w:val="20"/>
                <w:szCs w:val="20"/>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7,866</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Non-GAAP adjusted operating margin (1)</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Non-GAAP adjusted operating margin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sales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213,897</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205,683</w:t>
            </w:r>
          </w:p>
        </w:tc>
        <w:tc>
          <w:tcPr>
            <w:tcW w:w="2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47,430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46,082</w:t>
            </w:r>
          </w:p>
        </w:tc>
        <w:tc>
          <w:tcPr>
            <w:tcW w:w="0" w:type="dxa"/>
            <w:vAlign w:val="bottom"/>
          </w:tcPr>
          <w:p>
            <w:pPr>
              <w:spacing w:after="0"/>
              <w:rPr>
                <w:sz w:val="1"/>
                <w:szCs w:val="1"/>
                <w:color w:val="auto"/>
              </w:rPr>
            </w:pPr>
          </w:p>
        </w:tc>
      </w:tr>
      <w:tr>
        <w:trPr>
          <w:trHeight w:val="34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$000s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$000s</w:t>
            </w:r>
          </w:p>
        </w:tc>
        <w:tc>
          <w:tcPr>
            <w:tcW w:w="100" w:type="dxa"/>
            <w:vAlign w:val="bottom"/>
          </w:tcPr>
          <w:p>
            <w:pPr>
              <w:spacing w:after="0"/>
              <w:rPr>
                <w:sz w:val="24"/>
                <w:szCs w:val="24"/>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3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6"/>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3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Mobile Solutions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Life Sciences</w:t>
            </w:r>
          </w:p>
        </w:tc>
        <w:tc>
          <w:tcPr>
            <w:tcW w:w="10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 from operations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integration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integration expense</w:t>
            </w: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transition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adjusted income from</w:t>
            </w: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adjusted income from</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operations (a)</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2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220" w:type="dxa"/>
            <w:vAlign w:val="bottom"/>
            <w:shd w:val="clear" w:color="auto" w:fill="CCEEFF"/>
          </w:tcPr>
          <w:p>
            <w:pPr>
              <w:spacing w:after="0"/>
              <w:rPr>
                <w:sz w:val="20"/>
                <w:szCs w:val="20"/>
                <w:color w:val="auto"/>
              </w:rPr>
            </w:pPr>
          </w:p>
        </w:tc>
        <w:tc>
          <w:tcPr>
            <w:tcW w:w="320" w:type="dxa"/>
            <w:vAlign w:val="bottom"/>
          </w:tcPr>
          <w:p>
            <w:pPr>
              <w:spacing w:after="0"/>
              <w:rPr>
                <w:sz w:val="20"/>
                <w:szCs w:val="20"/>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20,475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16,212</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Non-GAAP adjusted operating margin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40"/>
              <w:spacing w:after="0" w:line="183" w:lineRule="exact"/>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3" w:lineRule="exact"/>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Impairment of joint venture</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GAAP net sales</w:t>
            </w:r>
          </w:p>
        </w:tc>
        <w:tc>
          <w:tcPr>
            <w:tcW w:w="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00"/>
              <w:spacing w:after="0" w:line="189" w:lineRule="exact"/>
              <w:rPr>
                <w:sz w:val="20"/>
                <w:szCs w:val="20"/>
                <w:color w:val="auto"/>
              </w:rPr>
            </w:pPr>
            <w:r>
              <w:rPr>
                <w:rFonts w:ascii="Times New Roman" w:cs="Times New Roman" w:eastAsia="Times New Roman" w:hAnsi="Times New Roman"/>
                <w:sz w:val="18"/>
                <w:szCs w:val="18"/>
                <w:color w:val="auto"/>
                <w:w w:val="96"/>
              </w:rPr>
              <w:t>94,011</w:t>
            </w:r>
          </w:p>
        </w:tc>
        <w:tc>
          <w:tcPr>
            <w:tcW w:w="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w w:val="96"/>
              </w:rPr>
              <w:t>78,363</w:t>
            </w:r>
          </w:p>
        </w:tc>
        <w:tc>
          <w:tcPr>
            <w:tcW w:w="0" w:type="dxa"/>
            <w:vAlign w:val="bottom"/>
          </w:tcPr>
          <w:p>
            <w:pPr>
              <w:spacing w:after="0"/>
              <w:rPr>
                <w:sz w:val="1"/>
                <w:szCs w:val="1"/>
                <w:color w:val="auto"/>
              </w:rPr>
            </w:pPr>
          </w:p>
        </w:tc>
      </w:tr>
      <w:tr>
        <w:trPr>
          <w:trHeight w:val="185"/>
        </w:trPr>
        <w:tc>
          <w:tcPr>
            <w:tcW w:w="31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Non-GAAP adjusted income from</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 with JV</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operating margin (1)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GAAP net sales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73,071</w:t>
            </w:r>
          </w:p>
        </w:tc>
        <w:tc>
          <w:tcPr>
            <w:tcW w:w="2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$000s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6"/>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sales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440" w:hanging="436"/>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operating margin = Non-GAAP adjusted income from operations/ GAAP net sales</w:t>
      </w:r>
    </w:p>
    <w:p>
      <w:pPr>
        <w:spacing w:after="0" w:line="27" w:lineRule="exact"/>
        <w:rPr>
          <w:sz w:val="20"/>
          <w:szCs w:val="20"/>
          <w:color w:val="auto"/>
        </w:rPr>
      </w:pPr>
    </w:p>
    <w:p>
      <w:pPr>
        <w:ind w:left="440" w:right="180" w:hanging="436"/>
        <w:spacing w:after="0" w:line="250"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Includes Capacity &amp; Capabilities Dev - $1.9 / Prof Fees - $0.5 / Integration &amp; Transformation - $5.9 / Acq Transaction Costs - $0.0 / Asset Write-Downs/Inventory Step-Up - $0.3</w:t>
      </w:r>
    </w:p>
    <w:p>
      <w:pPr>
        <w:ind w:left="440"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Includes Capacity &amp; Capabilities Dev - $2.4 / Prof Fees - $1.6 / Integration &amp; Transformation - $4.5 / AcqTransaction Costs - $0.6 / Asset Write-Downs/Inventory Step-Up - $0.5</w:t>
      </w:r>
    </w:p>
    <w:p>
      <w:pPr>
        <w:sectPr>
          <w:pgSz w:w="11900" w:h="16838" w:orient="portrait"/>
          <w:cols w:equalWidth="0" w:num="1">
            <w:col w:w="11020"/>
          </w:cols>
          <w:pgMar w:left="440" w:top="266" w:right="439" w:bottom="1440" w:gutter="0" w:footer="0" w:header="0"/>
        </w:sectPr>
      </w:pPr>
    </w:p>
    <w:bookmarkStart w:id="10" w:name="page11"/>
    <w:bookmarkEnd w:id="10"/>
    <w:p>
      <w:pPr>
        <w:ind w:left="283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Net Income (Loss) to Non-GAAP Adjusted EBITDA</w:t>
      </w:r>
    </w:p>
    <w:p>
      <w:pPr>
        <w:spacing w:after="0" w:line="237" w:lineRule="exact"/>
        <w:rPr>
          <w:sz w:val="20"/>
          <w:szCs w:val="20"/>
          <w:color w:val="auto"/>
        </w:rPr>
      </w:pPr>
    </w:p>
    <w:tbl>
      <w:tblPr>
        <w:tblLayout w:type="fixed"/>
        <w:tblInd w:w="1316"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$000s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4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(13,784)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Write-off of unamortized debt issuance cost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transition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Non-cash foreign exchange (gain) loss on inter-company loans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integration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adjusted EBITDA (b)</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 margin (2)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GAAP net sales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213,897</w:t>
            </w:r>
          </w:p>
        </w:tc>
        <w:tc>
          <w:tcPr>
            <w:tcW w:w="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205,683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36" w:hanging="436"/>
        <w:spacing w:after="0"/>
        <w:tabs>
          <w:tab w:leader="none" w:pos="4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margin = Non-GAAP adjusted EBITDA / GAAP net sales</w:t>
      </w:r>
    </w:p>
    <w:p>
      <w:pPr>
        <w:sectPr>
          <w:pgSz w:w="11900" w:h="16838" w:orient="portrait"/>
          <w:cols w:equalWidth="0" w:num="1">
            <w:col w:w="10015"/>
          </w:cols>
          <w:pgMar w:left="444" w:top="266" w:right="1440" w:bottom="1440" w:gutter="0" w:footer="0" w:header="0"/>
        </w:sectPr>
      </w:pPr>
    </w:p>
    <w:bookmarkStart w:id="11" w:name="page12"/>
    <w:bookmarkEnd w:id="1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Net Income (Loss) to Non-GAAP Adjusted Net Income (Loss) and Net Income (Loss) per Diluted Share to Non-GAAP Adjusted Net Income (Loss) per Diluted Share</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$000s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62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(5,597)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(13,784)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acquisition and transition expense</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foreign exchange (gain) loss on inter-company loans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Pre-tax restructuring and integration expense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write-off of unamortized debt issuance costs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Pre-tax amortization of intangibles and deferred financing costs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adjustments reflected above (c)</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Non-GAAP discrete tax adjustments</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net income (loss) (d)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11,442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per share, diluted</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62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 per diluted share</w:t>
            </w: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acquisition and transition expense</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foreign exchange (gain) loss on inter-company loans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Pre-tax restructuring and integration expense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write-off of unamortized debt issuance costs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Pre-tax amortization of intangibles and deferred financing costs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adjustments reflected above (c)</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Non-GAAP discrete tax adjustments</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net income (loss) per diluted share (d)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6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60" w:top="266" w:right="7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Operating Cash Flow to Non-GAAP Free Cash Flow</w:t>
      </w:r>
    </w:p>
    <w:p>
      <w:pPr>
        <w:spacing w:after="0" w:line="237"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$000s</w:t>
            </w:r>
          </w:p>
        </w:tc>
        <w:tc>
          <w:tcPr>
            <w:tcW w:w="1120" w:type="dxa"/>
            <w:vAlign w:val="bottom"/>
          </w:tcPr>
          <w:p>
            <w:pPr>
              <w:spacing w:after="0"/>
              <w:rPr>
                <w:sz w:val="12"/>
                <w:szCs w:val="12"/>
                <w:color w:val="auto"/>
              </w:rPr>
            </w:pPr>
          </w:p>
        </w:tc>
        <w:tc>
          <w:tcPr>
            <w:tcW w:w="1800" w:type="dxa"/>
            <w:vAlign w:val="bottom"/>
            <w:gridSpan w:val="6"/>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560" w:type="dxa"/>
            <w:vAlign w:val="bottom"/>
            <w:gridSpan w:val="2"/>
            <w:vMerge w:val="continue"/>
          </w:tcPr>
          <w:p>
            <w:pPr>
              <w:spacing w:after="0"/>
              <w:rPr>
                <w:sz w:val="15"/>
                <w:szCs w:val="15"/>
                <w:color w:val="auto"/>
              </w:rPr>
            </w:pPr>
          </w:p>
        </w:tc>
        <w:tc>
          <w:tcPr>
            <w:tcW w:w="176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$ 29,240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(18,110)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$ 17,514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66" w:right="1440"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discloses in this presentation the non-GAAP financial measures of adjusted income from operations, adjusted EBITDA, adjusted net income (loss), adjusted net income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EBITDA, adjusted net income (loss), adjusted net income per diluted share, free cash flow and net debt provides useful information in assessing our underlying business trends and facilitates comparison of our long-term performance over given periods.</w:t>
      </w:r>
    </w:p>
    <w:p>
      <w:pPr>
        <w:spacing w:after="0" w:line="19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80" w:lineRule="exact"/>
        <w:rPr>
          <w:sz w:val="20"/>
          <w:szCs w:val="20"/>
          <w:color w:val="auto"/>
        </w:rPr>
      </w:pPr>
    </w:p>
    <w:p>
      <w:pPr>
        <w:ind w:right="20" w:firstLine="4"/>
        <w:spacing w:after="0" w:line="256" w:lineRule="auto"/>
        <w:tabs>
          <w:tab w:leader="none" w:pos="2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83" w:lineRule="exact"/>
        <w:rPr>
          <w:rFonts w:ascii="Times New Roman" w:cs="Times New Roman" w:eastAsia="Times New Roman" w:hAnsi="Times New Roman"/>
          <w:sz w:val="18"/>
          <w:szCs w:val="18"/>
          <w:i w:val="1"/>
          <w:iCs w:val="1"/>
          <w:color w:val="auto"/>
        </w:rPr>
      </w:pPr>
    </w:p>
    <w:p>
      <w:pPr>
        <w:ind w:right="140" w:firstLine="4"/>
        <w:spacing w:after="0" w:line="256" w:lineRule="auto"/>
        <w:tabs>
          <w:tab w:leader="none" w:pos="2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Non-GAAP adjusted EBITDA represents GAAP net income (loss), adjusted to include income taxes, interest expense, Interest rate swaps and write-offs, depreciation and amortization, charges related to acquisition and transition costs, non-cash stock compensation expense, foreign exchange gain (loss) on inter-company loans, restructuring and integration expense,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83" w:lineRule="exact"/>
        <w:rPr>
          <w:rFonts w:ascii="Times New Roman" w:cs="Times New Roman" w:eastAsia="Times New Roman" w:hAnsi="Times New Roman"/>
          <w:sz w:val="18"/>
          <w:szCs w:val="18"/>
          <w:i w:val="1"/>
          <w:iCs w:val="1"/>
          <w:color w:val="auto"/>
        </w:rPr>
      </w:pPr>
    </w:p>
    <w:p>
      <w:pPr>
        <w:ind w:right="300" w:firstLine="4"/>
        <w:spacing w:after="0" w:line="267" w:lineRule="auto"/>
        <w:tabs>
          <w:tab w:leader="none" w:pos="24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73" w:lineRule="exact"/>
        <w:rPr>
          <w:rFonts w:ascii="Times New Roman" w:cs="Times New Roman" w:eastAsia="Times New Roman" w:hAnsi="Times New Roman"/>
          <w:sz w:val="18"/>
          <w:szCs w:val="18"/>
          <w:i w:val="1"/>
          <w:iCs w:val="1"/>
          <w:color w:val="auto"/>
        </w:rPr>
      </w:pPr>
    </w:p>
    <w:p>
      <w:pPr>
        <w:ind w:firstLine="4"/>
        <w:spacing w:after="0" w:line="254" w:lineRule="auto"/>
        <w:tabs>
          <w:tab w:leader="none" w:pos="2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Non-GAAP adjusted net income (loss) represents GAAP net income (loss) adjusted to exclude the 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estimated interest expense on cash held from divestiture, non-cash impairment charges, the impact of enactment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sectPr>
      <w:pgSz w:w="11900" w:h="16838" w:orient="portrait"/>
      <w:cols w:equalWidth="0" w:num="1">
        <w:col w:w="11020"/>
      </w:cols>
      <w:pgMar w:left="440" w:top="2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upperLetter"/>
      <w:start w:val="40"/>
    </w:lvl>
  </w:abstractNum>
  <w:abstractNum w:abstractNumId="3">
    <w:nsid w:val="507ED7AB"/>
    <w:multiLevelType w:val="hybridMultilevel"/>
    <w:lvl w:ilvl="0">
      <w:lvlJc w:val="left"/>
      <w:lvlText w:val="%1"/>
      <w:numFmt w:val="upperLetter"/>
      <w:start w:val="40"/>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2019-12-28T02:15:30Z</dcterms:created>
  <dcterms:modified xsi:type="dcterms:W3CDTF">2019-12-28T02:15:30Z</dcterms:modified>
</cp:coreProperties>
</file>