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4.0 -->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360"/>
      </w:tblGrid>
      <w:tr>
        <w:tblPrEx>
          <w:tblW w:w="9360" w:type="dxa"/>
          <w:tblLayout w:type="fixed"/>
        </w:tblPrEx>
        <w:trPr>
          <w:cantSplit/>
          <w:trHeight w:hRule="exact" w:val="60"/>
        </w:trPr>
        <w:tc>
          <w:tcPr>
            <w:tcW w:w="9360" w:type="dxa"/>
            <w:tcBorders>
              <w:top w:val="nil"/>
              <w:left w:val="nil"/>
              <w:bottom w:val="double" w:sz="8" w:space="0" w:color="000000"/>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4"/>
              </w:rPr>
            </w:pPr>
          </w:p>
        </w:tc>
      </w:tr>
    </w:tbl>
    <w:p>
      <w:pPr>
        <w:keepNext w:val="0"/>
        <w:keepLines w:val="0"/>
        <w:pageBreakBefore w:val="0"/>
        <w:widowControl/>
        <w:numPr>
          <w:ilvl w:val="0"/>
          <w:numId w:val="0"/>
        </w:numPr>
        <w:spacing w:before="120" w:after="0" w:line="288" w:lineRule="auto"/>
        <w:ind w:left="0" w:right="0" w:firstLine="0"/>
        <w:jc w:val="center"/>
        <w:outlineLvl w:val="0"/>
        <w:rPr>
          <w:rFonts w:ascii="Times New Roman" w:eastAsia="Times New Roman" w:hAnsi="Times New Roman" w:cs="Times New Roman"/>
          <w:b/>
          <w:i w:val="0"/>
          <w:sz w:val="32"/>
        </w:rPr>
      </w:pPr>
      <w:r>
        <w:rPr>
          <w:rFonts w:ascii="Times New Roman" w:eastAsia="Times New Roman" w:hAnsi="Times New Roman" w:cs="Times New Roman"/>
          <w:b/>
          <w:i w:val="0"/>
          <w:sz w:val="32"/>
        </w:rPr>
        <w:t>UNITED STATES</w:t>
      </w:r>
    </w:p>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32"/>
        </w:rPr>
      </w:pPr>
      <w:r>
        <w:rPr>
          <w:rFonts w:ascii="Times New Roman" w:eastAsia="Times New Roman" w:hAnsi="Times New Roman" w:cs="Times New Roman"/>
          <w:b/>
          <w:i w:val="0"/>
          <w:sz w:val="32"/>
        </w:rPr>
        <w:t>SECURITIES AND EXCHANGE COMMISSION</w:t>
      </w:r>
    </w:p>
    <w:p>
      <w:pPr>
        <w:keepNext w:val="0"/>
        <w:keepLines w:val="0"/>
        <w:pageBreakBefore w:val="0"/>
        <w:widowControl/>
        <w:numPr>
          <w:ilvl w:val="0"/>
          <w:numId w:val="0"/>
        </w:numPr>
        <w:spacing w:before="0" w:after="100" w:line="240" w:lineRule="auto"/>
        <w:ind w:left="0" w:right="0" w:firstLine="0"/>
        <w:jc w:val="center"/>
        <w:outlineLvl w:val="9"/>
        <w:rPr>
          <w:rFonts w:ascii="Times New Roman" w:eastAsia="Times New Roman" w:hAnsi="Times New Roman" w:cs="Times New Roman"/>
          <w:b/>
          <w:i w:val="0"/>
          <w:sz w:val="22"/>
        </w:rPr>
      </w:pPr>
      <w:r>
        <w:rPr>
          <w:rFonts w:ascii="Times New Roman" w:eastAsia="Times New Roman" w:hAnsi="Times New Roman" w:cs="Times New Roman"/>
          <w:b/>
          <w:i w:val="0"/>
          <w:sz w:val="22"/>
        </w:rPr>
        <w:t>Washington, D.C. 20549</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545"/>
      </w:tblGrid>
      <w:tr>
        <w:tblPrEx>
          <w:tblW w:w="4545" w:type="dxa"/>
          <w:tblLayout w:type="fixed"/>
        </w:tblPrEx>
        <w:trPr>
          <w:cantSplit/>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24"/>
        </w:rPr>
      </w:pPr>
      <w:r>
        <w:rPr>
          <w:rFonts w:ascii="Times New Roman" w:eastAsia="Times New Roman" w:hAnsi="Times New Roman" w:cs="Times New Roman"/>
          <w:b/>
          <w:i w:val="0"/>
          <w:sz w:val="32"/>
        </w:rPr>
        <w:t xml:space="preserve">FORM </w:t>
      </w:r>
      <w:r>
        <w:rPr>
          <w:rFonts w:ascii="Times New Roman" w:eastAsia="Times New Roman" w:hAnsi="Times New Roman" w:cs="Times New Roman"/>
          <w:b/>
          <w:i w:val="0"/>
          <w:color w:val="000000"/>
          <w:sz w:val="32"/>
          <w:u w:val="none"/>
        </w:rPr>
        <w:t>8-K</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545"/>
      </w:tblGrid>
      <w:tr>
        <w:tblPrEx>
          <w:tblW w:w="4545" w:type="dxa"/>
          <w:tblLayout w:type="fixed"/>
        </w:tblPrEx>
        <w:trPr>
          <w:cantSplit/>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32"/>
        </w:rPr>
      </w:pPr>
      <w:r>
        <w:rPr>
          <w:rFonts w:ascii="Times New Roman" w:eastAsia="Times New Roman" w:hAnsi="Times New Roman" w:cs="Times New Roman"/>
          <w:b/>
          <w:i w:val="0"/>
          <w:sz w:val="32"/>
        </w:rPr>
        <w:t>CURRENT REPORT</w:t>
      </w:r>
    </w:p>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22"/>
        </w:rPr>
      </w:pPr>
      <w:r>
        <w:rPr>
          <w:rFonts w:ascii="Times New Roman" w:eastAsia="Times New Roman" w:hAnsi="Times New Roman" w:cs="Times New Roman"/>
          <w:b/>
          <w:i w:val="0"/>
          <w:sz w:val="22"/>
        </w:rPr>
        <w:t xml:space="preserve">Pursuant to Section 13 OR 15(d) of The Securities Exchange Act of 1934 </w:t>
      </w:r>
    </w:p>
    <w:p>
      <w:pPr>
        <w:keepNext w:val="0"/>
        <w:keepLines w:val="0"/>
        <w:pageBreakBefore w:val="0"/>
        <w:widowControl/>
        <w:numPr>
          <w:ilvl w:val="0"/>
          <w:numId w:val="0"/>
        </w:numPr>
        <w:tabs>
          <w:tab w:val="left" w:pos="9980"/>
          <w:tab w:val="left" w:pos="10080"/>
          <w:tab w:val="left" w:pos="10800"/>
          <w:tab w:val="left" w:pos="11520"/>
        </w:tabs>
        <w:spacing w:before="120" w:after="60" w:line="240" w:lineRule="auto"/>
        <w:ind w:left="0" w:right="0" w:firstLine="0"/>
        <w:jc w:val="center"/>
        <w:outlineLvl w:val="9"/>
        <w:rPr>
          <w:rFonts w:ascii="Times New Roman" w:eastAsia="Times New Roman" w:hAnsi="Times New Roman" w:cs="Times New Roman"/>
          <w:b/>
          <w:i w:val="0"/>
          <w:sz w:val="22"/>
        </w:rPr>
      </w:pPr>
      <w:r>
        <w:rPr>
          <w:rFonts w:ascii="Times New Roman" w:eastAsia="Times New Roman" w:hAnsi="Times New Roman" w:cs="Times New Roman"/>
          <w:b/>
          <w:i w:val="0"/>
          <w:sz w:val="22"/>
        </w:rPr>
        <w:t xml:space="preserve">Date of Report (Date of earliest event reported):  </w:t>
      </w:r>
      <w:r>
        <w:rPr>
          <w:rFonts w:ascii="Times New Roman" w:eastAsia="Times New Roman" w:hAnsi="Times New Roman" w:cs="Times New Roman"/>
          <w:b/>
          <w:i w:val="0"/>
          <w:color w:val="000000"/>
          <w:sz w:val="22"/>
          <w:u w:val="none"/>
        </w:rPr>
        <w:t>August 20, 2026</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545"/>
      </w:tblGrid>
      <w:tr>
        <w:tblPrEx>
          <w:tblW w:w="4545" w:type="dxa"/>
          <w:tblLayout w:type="fixed"/>
        </w:tblPrEx>
        <w:trPr>
          <w:cantSplit/>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48.5pt">
            <v:imagedata r:id="rId4" o:title=""/>
            <o:lock v:ext="edit" aspectratio="t"/>
          </v:shape>
        </w:pict>
      </w:r>
    </w:p>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36"/>
        </w:rPr>
      </w:pPr>
      <w:r>
        <w:rPr>
          <w:rFonts w:ascii="Times New Roman" w:eastAsia="Times New Roman" w:hAnsi="Times New Roman" w:cs="Times New Roman"/>
          <w:b/>
          <w:i w:val="0"/>
          <w:color w:val="000000"/>
          <w:sz w:val="36"/>
          <w:u w:val="none"/>
        </w:rPr>
        <w:t>NN, Inc.</w:t>
      </w:r>
    </w:p>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18"/>
        </w:rPr>
      </w:pPr>
      <w:r>
        <w:rPr>
          <w:rFonts w:ascii="Times New Roman" w:eastAsia="Times New Roman" w:hAnsi="Times New Roman" w:cs="Times New Roman"/>
          <w:b/>
          <w:i w:val="0"/>
          <w:sz w:val="18"/>
        </w:rPr>
        <w:t>(Exact name of registrant as specified in its charter)</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545"/>
      </w:tblGrid>
      <w:tr>
        <w:tblPrEx>
          <w:tblW w:w="4545" w:type="dxa"/>
          <w:tblLayout w:type="fixed"/>
        </w:tblPrEx>
        <w:trPr>
          <w:cantSplit/>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0"/>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000"/>
        <w:gridCol w:w="3000"/>
        <w:gridCol w:w="3000"/>
      </w:tblGrid>
      <w:tr>
        <w:tblPrEx>
          <w:tblW w:w="9000" w:type="dxa"/>
          <w:tblLayout w:type="fixed"/>
        </w:tblPrEx>
        <w:trPr>
          <w:cantSplit/>
          <w:trHeight w:hRule="exact" w:val="285"/>
        </w:trPr>
        <w:tc>
          <w:tcPr>
            <w:tcW w:w="300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18"/>
                <w:u w:val="none"/>
              </w:rPr>
              <w:t>Delaware</w:t>
            </w:r>
          </w:p>
        </w:tc>
        <w:tc>
          <w:tcPr>
            <w:tcW w:w="300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8"/>
                <w:u w:val="none"/>
              </w:rPr>
              <w:t>001-39268</w:t>
            </w:r>
          </w:p>
        </w:tc>
        <w:tc>
          <w:tcPr>
            <w:tcW w:w="3000"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center"/>
            </w:pPr>
            <w:r>
              <w:rPr>
                <w:rFonts w:ascii="Times New Roman" w:eastAsia="Times New Roman" w:hAnsi="Times New Roman" w:cs="Times New Roman"/>
                <w:b/>
                <w:i w:val="0"/>
                <w:color w:val="000000"/>
                <w:sz w:val="18"/>
                <w:u w:val="none"/>
              </w:rPr>
              <w:t>62-1096725</w:t>
            </w:r>
          </w:p>
        </w:tc>
      </w:tr>
      <w:tr>
        <w:tblPrEx>
          <w:tblW w:w="9000" w:type="dxa"/>
          <w:tblLayout w:type="fixed"/>
        </w:tblPrEx>
        <w:trPr>
          <w:cantSplit/>
          <w:trHeight w:hRule="exact" w:val="465"/>
        </w:trPr>
        <w:tc>
          <w:tcPr>
            <w:tcW w:w="3000" w:type="dxa"/>
            <w:tcBorders>
              <w:top w:val="nil"/>
              <w:left w:val="nil"/>
              <w:bottom w:val="nil"/>
              <w:right w:val="nil"/>
            </w:tcBorders>
            <w:tcMar>
              <w:top w:w="0" w:type="dxa"/>
              <w:left w:w="53" w:type="dxa"/>
              <w:bottom w:w="0" w:type="dxa"/>
              <w:right w:w="53" w:type="dxa"/>
            </w:tcMar>
            <w:vAlign w:val="top"/>
          </w:tcPr>
          <w:p>
            <w:pPr>
              <w:pageBreakBefore w:val="0"/>
              <w:spacing w:before="53" w:line="240" w:lineRule="auto"/>
              <w:jc w:val="center"/>
            </w:pPr>
            <w:r>
              <w:rPr>
                <w:rFonts w:ascii="Times New Roman" w:eastAsia="Times New Roman" w:hAnsi="Times New Roman" w:cs="Times New Roman"/>
                <w:b w:val="0"/>
                <w:i/>
                <w:color w:val="000000"/>
                <w:sz w:val="18"/>
                <w:u w:val="none"/>
              </w:rPr>
              <w:t>(State or other jurisdiction of</w:t>
            </w:r>
          </w:p>
          <w:p>
            <w:pPr>
              <w:spacing w:after="30" w:line="240" w:lineRule="auto"/>
              <w:jc w:val="center"/>
            </w:pPr>
            <w:r>
              <w:rPr>
                <w:rFonts w:ascii="Times New Roman" w:eastAsia="Times New Roman" w:hAnsi="Times New Roman" w:cs="Times New Roman"/>
                <w:b w:val="0"/>
                <w:i/>
                <w:color w:val="000000"/>
                <w:sz w:val="18"/>
                <w:u w:val="none"/>
              </w:rPr>
              <w:t>incorporation)</w:t>
            </w:r>
          </w:p>
        </w:tc>
        <w:tc>
          <w:tcPr>
            <w:tcW w:w="3000"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center"/>
            </w:pPr>
            <w:r>
              <w:rPr>
                <w:rFonts w:ascii="Times New Roman" w:eastAsia="Times New Roman" w:hAnsi="Times New Roman" w:cs="Times New Roman"/>
                <w:b w:val="0"/>
                <w:i/>
                <w:color w:val="000000"/>
                <w:sz w:val="18"/>
                <w:u w:val="none"/>
              </w:rPr>
              <w:t>(Commission File Number)</w:t>
            </w:r>
          </w:p>
        </w:tc>
        <w:tc>
          <w:tcPr>
            <w:tcW w:w="3000" w:type="dxa"/>
            <w:tcBorders>
              <w:top w:val="nil"/>
              <w:left w:val="nil"/>
              <w:bottom w:val="nil"/>
              <w:right w:val="nil"/>
            </w:tcBorders>
            <w:tcMar>
              <w:top w:w="0" w:type="dxa"/>
              <w:left w:w="53" w:type="dxa"/>
              <w:bottom w:w="0" w:type="dxa"/>
              <w:right w:w="53" w:type="dxa"/>
            </w:tcMar>
            <w:vAlign w:val="top"/>
          </w:tcPr>
          <w:p>
            <w:pPr>
              <w:pageBreakBefore w:val="0"/>
              <w:spacing w:before="53" w:line="240" w:lineRule="auto"/>
              <w:jc w:val="center"/>
            </w:pPr>
            <w:r>
              <w:rPr>
                <w:rFonts w:ascii="Times New Roman" w:eastAsia="Times New Roman" w:hAnsi="Times New Roman" w:cs="Times New Roman"/>
                <w:b w:val="0"/>
                <w:i/>
                <w:color w:val="000000"/>
                <w:sz w:val="18"/>
                <w:u w:val="none"/>
              </w:rPr>
              <w:t>(I.R.S. Employer</w:t>
            </w:r>
          </w:p>
          <w:p>
            <w:pPr>
              <w:spacing w:after="30" w:line="240" w:lineRule="auto"/>
              <w:jc w:val="center"/>
            </w:pPr>
            <w:r>
              <w:rPr>
                <w:rFonts w:ascii="Times New Roman" w:eastAsia="Times New Roman" w:hAnsi="Times New Roman" w:cs="Times New Roman"/>
                <w:b w:val="0"/>
                <w:i/>
                <w:color w:val="000000"/>
                <w:sz w:val="18"/>
                <w:u w:val="none"/>
              </w:rPr>
              <w:t>Identification No.)</w:t>
            </w: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12"/>
        </w:rPr>
      </w:pPr>
    </w:p>
    <w:tbl>
      <w:tblPr>
        <w:tblW w:w="7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675"/>
        <w:gridCol w:w="2205"/>
        <w:gridCol w:w="1605"/>
      </w:tblGrid>
      <w:tr>
        <w:tblPrEx>
          <w:tblW w:w="7485" w:type="dxa"/>
          <w:tblLayout w:type="fixed"/>
        </w:tblPrEx>
        <w:trPr>
          <w:cantSplit/>
          <w:trHeight w:hRule="exact" w:val="285"/>
        </w:trPr>
        <w:tc>
          <w:tcPr>
            <w:tcW w:w="367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18"/>
              </w:rPr>
            </w:pPr>
            <w:r>
              <w:rPr>
                <w:rFonts w:ascii="Times New Roman" w:eastAsia="Times New Roman" w:hAnsi="Times New Roman" w:cs="Times New Roman"/>
                <w:b/>
                <w:i w:val="0"/>
                <w:color w:val="000000"/>
                <w:sz w:val="18"/>
                <w:u w:val="none"/>
              </w:rPr>
              <w:t>6210 Ardrey Kell Road</w:t>
            </w:r>
            <w:r>
              <w:rPr>
                <w:rFonts w:ascii="Times New Roman" w:eastAsia="Times New Roman" w:hAnsi="Times New Roman" w:cs="Times New Roman"/>
                <w:b/>
                <w:i w:val="0"/>
                <w:sz w:val="18"/>
              </w:rPr>
              <w:t xml:space="preserve">, </w:t>
            </w:r>
            <w:r>
              <w:rPr>
                <w:rFonts w:ascii="Times New Roman" w:eastAsia="Times New Roman" w:hAnsi="Times New Roman" w:cs="Times New Roman"/>
                <w:b/>
                <w:i w:val="0"/>
                <w:color w:val="000000"/>
                <w:sz w:val="18"/>
                <w:u w:val="none"/>
              </w:rPr>
              <w:t xml:space="preserve"> Suite 120</w:t>
            </w:r>
          </w:p>
        </w:tc>
        <w:tc>
          <w:tcPr>
            <w:tcW w:w="22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8"/>
              </w:rPr>
            </w:pPr>
          </w:p>
        </w:tc>
        <w:tc>
          <w:tcPr>
            <w:tcW w:w="16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7485" w:type="dxa"/>
          <w:tblLayout w:type="fixed"/>
        </w:tblPrEx>
        <w:trPr>
          <w:cantSplit/>
          <w:trHeight w:hRule="exact" w:val="285"/>
        </w:trPr>
        <w:tc>
          <w:tcPr>
            <w:tcW w:w="3675" w:type="dxa"/>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53" w:after="30" w:line="240" w:lineRule="auto"/>
              <w:ind w:left="0" w:right="0" w:firstLine="0"/>
              <w:jc w:val="center"/>
              <w:outlineLvl w:val="9"/>
              <w:rPr>
                <w:rFonts w:ascii="Times New Roman" w:eastAsia="Times New Roman" w:hAnsi="Times New Roman" w:cs="Times New Roman"/>
                <w:b/>
                <w:i w:val="0"/>
                <w:sz w:val="18"/>
              </w:rPr>
            </w:pPr>
            <w:r>
              <w:rPr>
                <w:rFonts w:ascii="Times New Roman" w:eastAsia="Times New Roman" w:hAnsi="Times New Roman" w:cs="Times New Roman"/>
                <w:b/>
                <w:i w:val="0"/>
                <w:color w:val="000000"/>
                <w:sz w:val="18"/>
                <w:u w:val="none"/>
              </w:rPr>
              <w:t>Charlotte</w:t>
            </w:r>
            <w:r>
              <w:rPr>
                <w:rFonts w:ascii="Times New Roman" w:eastAsia="Times New Roman" w:hAnsi="Times New Roman" w:cs="Times New Roman"/>
                <w:b/>
                <w:i w:val="0"/>
                <w:sz w:val="18"/>
              </w:rPr>
              <w:t xml:space="preserve">, </w:t>
            </w:r>
            <w:r>
              <w:rPr>
                <w:rFonts w:ascii="Times New Roman" w:eastAsia="Times New Roman" w:hAnsi="Times New Roman" w:cs="Times New Roman"/>
                <w:b/>
                <w:i w:val="0"/>
                <w:color w:val="000000"/>
                <w:sz w:val="18"/>
                <w:u w:val="none"/>
              </w:rPr>
              <w:t>North Carolina</w:t>
            </w:r>
          </w:p>
        </w:tc>
        <w:tc>
          <w:tcPr>
            <w:tcW w:w="220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8"/>
              </w:rPr>
            </w:pPr>
          </w:p>
        </w:tc>
        <w:tc>
          <w:tcPr>
            <w:tcW w:w="1605"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8"/>
                <w:u w:val="none"/>
              </w:rPr>
              <w:t>28277</w:t>
            </w:r>
          </w:p>
        </w:tc>
      </w:tr>
      <w:tr>
        <w:tblPrEx>
          <w:tblW w:w="7485" w:type="dxa"/>
          <w:tblLayout w:type="fixed"/>
        </w:tblPrEx>
        <w:trPr>
          <w:cantSplit/>
          <w:trHeight w:hRule="exact" w:val="315"/>
        </w:trPr>
        <w:tc>
          <w:tcPr>
            <w:tcW w:w="3675"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center"/>
            </w:pPr>
            <w:r>
              <w:rPr>
                <w:rFonts w:ascii="Times New Roman" w:eastAsia="Times New Roman" w:hAnsi="Times New Roman" w:cs="Times New Roman"/>
                <w:b w:val="0"/>
                <w:i/>
                <w:color w:val="000000"/>
                <w:sz w:val="18"/>
                <w:u w:val="none"/>
              </w:rPr>
              <w:t>(Address of principal executive offices)</w:t>
            </w:r>
          </w:p>
        </w:tc>
        <w:tc>
          <w:tcPr>
            <w:tcW w:w="2205" w:type="dxa"/>
            <w:tcBorders>
              <w:top w:val="nil"/>
              <w:left w:val="nil"/>
              <w:bottom w:val="nil"/>
              <w:right w:val="nil"/>
            </w:tcBorders>
            <w:tcMar>
              <w:top w:w="0" w:type="dxa"/>
              <w:left w:w="0" w:type="dxa"/>
              <w:bottom w:w="0" w:type="dxa"/>
              <w:right w:w="0" w:type="dxa"/>
            </w:tcMar>
            <w:vAlign w:val="bottom"/>
          </w:tcPr>
          <w:p>
            <w:pPr>
              <w:pageBreakBefore w:val="0"/>
              <w:spacing w:before="0" w:after="0"/>
              <w:rPr>
                <w:sz w:val="18"/>
              </w:rPr>
            </w:pPr>
          </w:p>
        </w:tc>
        <w:tc>
          <w:tcPr>
            <w:tcW w:w="1605"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center"/>
            </w:pPr>
            <w:r>
              <w:rPr>
                <w:rFonts w:ascii="Times New Roman" w:eastAsia="Times New Roman" w:hAnsi="Times New Roman" w:cs="Times New Roman"/>
                <w:b w:val="0"/>
                <w:i/>
                <w:color w:val="000000"/>
                <w:sz w:val="18"/>
                <w:u w:val="none"/>
              </w:rPr>
              <w:t>(Zip Code)</w:t>
            </w: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i w:val="0"/>
          <w:sz w:val="18"/>
        </w:rPr>
      </w:pPr>
    </w:p>
    <w:p>
      <w:pPr>
        <w:keepNext w:val="0"/>
        <w:keepLines w:val="0"/>
        <w:pageBreakBefore w:val="0"/>
        <w:widowControl/>
        <w:numPr>
          <w:ilvl w:val="0"/>
          <w:numId w:val="0"/>
        </w:numPr>
        <w:spacing w:before="60" w:after="0" w:line="240" w:lineRule="auto"/>
        <w:ind w:left="0" w:right="0" w:firstLine="0"/>
        <w:jc w:val="center"/>
        <w:outlineLvl w:val="9"/>
        <w:rPr>
          <w:rFonts w:ascii="Times New Roman" w:eastAsia="Times New Roman" w:hAnsi="Times New Roman" w:cs="Times New Roman"/>
          <w:b/>
          <w:i w:val="0"/>
          <w:sz w:val="18"/>
        </w:rPr>
      </w:pPr>
      <w:r>
        <w:rPr>
          <w:rFonts w:ascii="Times New Roman" w:eastAsia="Times New Roman" w:hAnsi="Times New Roman" w:cs="Times New Roman"/>
          <w:b/>
          <w:i w:val="0"/>
          <w:color w:val="000000"/>
          <w:sz w:val="18"/>
          <w:u w:val="none"/>
        </w:rPr>
        <w:t>(980)</w:t>
      </w:r>
      <w:r>
        <w:rPr>
          <w:rFonts w:ascii="Times New Roman" w:eastAsia="Times New Roman" w:hAnsi="Times New Roman" w:cs="Times New Roman"/>
          <w:b/>
          <w:i w:val="0"/>
          <w:sz w:val="18"/>
        </w:rPr>
        <w:t xml:space="preserve"> </w:t>
      </w:r>
      <w:r>
        <w:rPr>
          <w:rFonts w:ascii="Times New Roman" w:eastAsia="Times New Roman" w:hAnsi="Times New Roman" w:cs="Times New Roman"/>
          <w:b/>
          <w:i w:val="0"/>
          <w:color w:val="000000"/>
          <w:sz w:val="18"/>
          <w:u w:val="none"/>
        </w:rPr>
        <w:t>264-4300</w:t>
      </w:r>
    </w:p>
    <w:p>
      <w:pPr>
        <w:keepNext w:val="0"/>
        <w:keepLines w:val="0"/>
        <w:pageBreakBefore w:val="0"/>
        <w:widowControl/>
        <w:numPr>
          <w:ilvl w:val="0"/>
          <w:numId w:val="0"/>
        </w:numPr>
        <w:spacing w:before="0" w:after="60" w:line="240" w:lineRule="auto"/>
        <w:ind w:left="0" w:right="0" w:firstLine="0"/>
        <w:jc w:val="center"/>
        <w:outlineLvl w:val="9"/>
        <w:rPr>
          <w:rFonts w:ascii="Times New Roman" w:eastAsia="Times New Roman" w:hAnsi="Times New Roman" w:cs="Times New Roman"/>
          <w:b w:val="0"/>
          <w:i/>
          <w:sz w:val="18"/>
        </w:rPr>
      </w:pPr>
      <w:r>
        <w:rPr>
          <w:rFonts w:ascii="Times New Roman" w:eastAsia="Times New Roman" w:hAnsi="Times New Roman" w:cs="Times New Roman"/>
          <w:b w:val="0"/>
          <w:i/>
          <w:sz w:val="18"/>
        </w:rPr>
        <w:t>(Registrant’s telephone number, including area code) </w:t>
      </w:r>
    </w:p>
    <w:p>
      <w:pPr>
        <w:keepNext w:val="0"/>
        <w:keepLines w:val="0"/>
        <w:pageBreakBefore w:val="0"/>
        <w:widowControl/>
        <w:numPr>
          <w:ilvl w:val="0"/>
          <w:numId w:val="0"/>
        </w:numPr>
        <w:spacing w:before="180" w:after="0" w:line="240" w:lineRule="auto"/>
        <w:ind w:left="0" w:right="0" w:firstLine="0"/>
        <w:jc w:val="center"/>
        <w:outlineLvl w:val="9"/>
        <w:rPr>
          <w:rFonts w:ascii="Times New Roman" w:eastAsia="Times New Roman" w:hAnsi="Times New Roman" w:cs="Times New Roman"/>
          <w:b/>
          <w:i w:val="0"/>
          <w:sz w:val="16"/>
        </w:rPr>
      </w:pPr>
      <w:r>
        <w:rPr>
          <w:rFonts w:ascii="Times New Roman" w:eastAsia="Times New Roman" w:hAnsi="Times New Roman" w:cs="Times New Roman"/>
          <w:b/>
          <w:i w:val="0"/>
          <w:sz w:val="16"/>
        </w:rPr>
        <w:t>(Former name or former address, if changed since last report)</w:t>
      </w:r>
    </w:p>
    <w:tbl>
      <w:tblPr>
        <w:tblW w:w="3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060"/>
      </w:tblGrid>
      <w:tr>
        <w:tblPrEx>
          <w:tblW w:w="3060" w:type="dxa"/>
          <w:tblLayout w:type="fixed"/>
        </w:tblPrEx>
        <w:trPr>
          <w:cantSplit/>
          <w:trHeight w:hRule="exact" w:val="75"/>
        </w:trPr>
        <w:tc>
          <w:tcPr>
            <w:tcW w:w="3060" w:type="dxa"/>
            <w:tcBorders>
              <w:top w:val="single" w:sz="8" w:space="0" w:color="000000"/>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15"/>
        <w:gridCol w:w="9945"/>
      </w:tblGrid>
      <w:tr>
        <w:tblPrEx>
          <w:tblW w:w="10260" w:type="dxa"/>
          <w:tblLayout w:type="fixed"/>
        </w:tblPrEx>
        <w:trPr>
          <w:cantSplit/>
          <w:trHeight w:hRule="auto" w:val="0"/>
        </w:trPr>
        <w:tc>
          <w:tcPr>
            <w:tcW w:w="10260" w:type="dxa"/>
            <w:gridSpan w:val="2"/>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43" w:after="2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Check the appropriate box if the Form 8-K filing is intended to simultaneously satisfy the filing obligation of the registrant under any of the following provisions (see General Instruction A.2. below):</w:t>
            </w:r>
          </w:p>
        </w:tc>
      </w:tr>
      <w:tr>
        <w:tblPrEx>
          <w:tblW w:w="10260" w:type="dxa"/>
          <w:tblLayout w:type="fixed"/>
        </w:tblPrEx>
        <w:trPr>
          <w:cantSplit/>
          <w:trHeight w:hRule="exact" w:val="345"/>
        </w:trPr>
        <w:tc>
          <w:tcPr>
            <w:tcW w:w="31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w:t>
            </w:r>
          </w:p>
        </w:tc>
        <w:tc>
          <w:tcPr>
            <w:tcW w:w="994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Written communications pursuant to Rule 425 under the Securities Act (17 CFR 230.425)</w:t>
            </w:r>
          </w:p>
        </w:tc>
      </w:tr>
      <w:tr>
        <w:tblPrEx>
          <w:tblW w:w="10260" w:type="dxa"/>
          <w:tblLayout w:type="fixed"/>
        </w:tblPrEx>
        <w:trPr>
          <w:cantSplit/>
          <w:trHeight w:hRule="exact" w:val="345"/>
        </w:trPr>
        <w:tc>
          <w:tcPr>
            <w:tcW w:w="31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w:t>
            </w:r>
          </w:p>
        </w:tc>
        <w:tc>
          <w:tcPr>
            <w:tcW w:w="994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Soliciting material pursuant to Rule 14a-12 under the Exchange Act (17 CFR 240.14a-12)</w:t>
            </w:r>
          </w:p>
        </w:tc>
      </w:tr>
      <w:tr>
        <w:tblPrEx>
          <w:tblW w:w="10260" w:type="dxa"/>
          <w:tblLayout w:type="fixed"/>
        </w:tblPrEx>
        <w:trPr>
          <w:cantSplit/>
          <w:trHeight w:hRule="exact" w:val="345"/>
        </w:trPr>
        <w:tc>
          <w:tcPr>
            <w:tcW w:w="31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w:t>
            </w:r>
          </w:p>
        </w:tc>
        <w:tc>
          <w:tcPr>
            <w:tcW w:w="994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left"/>
            </w:pPr>
            <w:r>
              <w:rPr>
                <w:rFonts w:ascii="Times New Roman" w:eastAsia="Times New Roman" w:hAnsi="Times New Roman" w:cs="Times New Roman"/>
                <w:b w:val="0"/>
                <w:i w:val="0"/>
                <w:color w:val="000000"/>
                <w:sz w:val="20"/>
                <w:u w:val="none"/>
              </w:rPr>
              <w:t>Pre-commencement communications pursuant to Rule 14d-2(b) under the Exchange Act (17 CFR 240.14d- 2(b))</w:t>
            </w:r>
          </w:p>
        </w:tc>
      </w:tr>
      <w:tr>
        <w:tblPrEx>
          <w:tblW w:w="10260" w:type="dxa"/>
          <w:tblLayout w:type="fixed"/>
        </w:tblPrEx>
        <w:trPr>
          <w:cantSplit/>
          <w:trHeight w:hRule="exact" w:val="345"/>
        </w:trPr>
        <w:tc>
          <w:tcPr>
            <w:tcW w:w="315"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jc w:val="left"/>
            </w:pPr>
            <w:r>
              <w:rPr>
                <w:rFonts w:ascii="Times New Roman" w:eastAsia="Times New Roman" w:hAnsi="Times New Roman" w:cs="Times New Roman"/>
                <w:b w:val="0"/>
                <w:i w:val="0"/>
                <w:color w:val="000000"/>
                <w:sz w:val="20"/>
                <w:u w:val="none"/>
              </w:rPr>
              <w:t>☐</w:t>
            </w:r>
          </w:p>
        </w:tc>
        <w:tc>
          <w:tcPr>
            <w:tcW w:w="9945" w:type="dxa"/>
            <w:tcBorders>
              <w:top w:val="nil"/>
              <w:left w:val="nil"/>
              <w:bottom w:val="nil"/>
              <w:right w:val="nil"/>
            </w:tcBorders>
            <w:tcMar>
              <w:top w:w="0" w:type="dxa"/>
              <w:left w:w="53" w:type="dxa"/>
              <w:bottom w:w="0" w:type="dxa"/>
              <w:right w:w="53" w:type="dxa"/>
            </w:tcMar>
            <w:vAlign w:val="center"/>
          </w:tcPr>
          <w:p>
            <w:pPr>
              <w:pageBreakBefore w:val="0"/>
              <w:spacing w:before="0" w:after="0" w:line="240" w:lineRule="auto"/>
              <w:jc w:val="left"/>
            </w:pPr>
            <w:r>
              <w:rPr>
                <w:rFonts w:ascii="Times New Roman" w:eastAsia="Times New Roman" w:hAnsi="Times New Roman" w:cs="Times New Roman"/>
                <w:b w:val="0"/>
                <w:i w:val="0"/>
                <w:color w:val="000000"/>
                <w:sz w:val="20"/>
                <w:u w:val="none"/>
              </w:rPr>
              <w:t>Pre-commencement communications pursuant to Rule 13e-4(c) under the Exchange Act (17 CFR 240.13e- 4(c))</w:t>
            </w:r>
          </w:p>
        </w:tc>
      </w:tr>
    </w:tbl>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000"/>
        <w:gridCol w:w="165"/>
        <w:gridCol w:w="3000"/>
        <w:gridCol w:w="165"/>
        <w:gridCol w:w="3000"/>
      </w:tblGrid>
      <w:tr>
        <w:tblPrEx>
          <w:tblW w:w="9330" w:type="dxa"/>
          <w:tblLayout w:type="fixed"/>
        </w:tblPrEx>
        <w:trPr>
          <w:cantSplit/>
          <w:trHeight w:hRule="exact" w:val="255"/>
        </w:trPr>
        <w:tc>
          <w:tcPr>
            <w:tcW w:w="9330" w:type="dxa"/>
            <w:gridSpan w:val="5"/>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i w:val="0"/>
                <w:color w:val="000000"/>
                <w:sz w:val="16"/>
                <w:u w:val="none"/>
              </w:rPr>
              <w:t>Securities registered pursuant to Section 12(b) of the Act:</w:t>
            </w:r>
          </w:p>
        </w:tc>
      </w:tr>
      <w:tr>
        <w:tblPrEx>
          <w:tblW w:w="9330" w:type="dxa"/>
          <w:tblLayout w:type="fixed"/>
        </w:tblPrEx>
        <w:trPr>
          <w:cantSplit/>
          <w:trHeight w:hRule="exact" w:val="255"/>
        </w:trPr>
        <w:tc>
          <w:tcPr>
            <w:tcW w:w="300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color w:val="000000"/>
                <w:sz w:val="16"/>
                <w:u w:val="none"/>
              </w:rPr>
              <w:t>Title of each class</w:t>
            </w:r>
          </w:p>
        </w:tc>
        <w:tc>
          <w:tcPr>
            <w:tcW w:w="1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00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color w:val="000000"/>
                <w:sz w:val="16"/>
                <w:u w:val="none"/>
              </w:rPr>
              <w:t>Trading symbol</w:t>
            </w:r>
          </w:p>
        </w:tc>
        <w:tc>
          <w:tcPr>
            <w:tcW w:w="1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3000" w:type="dxa"/>
            <w:tcBorders>
              <w:top w:val="nil"/>
              <w:left w:val="nil"/>
              <w:bottom w:val="nil"/>
              <w:right w:val="nil"/>
            </w:tcBorders>
            <w:tcMar>
              <w:top w:w="0" w:type="dxa"/>
              <w:left w:w="53" w:type="dxa"/>
              <w:bottom w:w="0" w:type="dxa"/>
              <w:right w:w="53" w:type="dxa"/>
            </w:tcMar>
            <w:vAlign w:val="bottom"/>
          </w:tcPr>
          <w:p>
            <w:pPr>
              <w:keepNext/>
              <w:pageBreakBefore w:val="0"/>
              <w:spacing w:before="53" w:after="30" w:line="240" w:lineRule="auto"/>
              <w:jc w:val="center"/>
            </w:pPr>
            <w:r>
              <w:rPr>
                <w:rFonts w:ascii="Times New Roman" w:eastAsia="Times New Roman" w:hAnsi="Times New Roman" w:cs="Times New Roman"/>
                <w:b w:val="0"/>
                <w:i/>
                <w:color w:val="000000"/>
                <w:sz w:val="16"/>
                <w:u w:val="none"/>
              </w:rPr>
              <w:t>Name of each exchange on which registered</w:t>
            </w:r>
          </w:p>
        </w:tc>
      </w:tr>
      <w:tr>
        <w:tblPrEx>
          <w:tblW w:w="9330" w:type="dxa"/>
          <w:tblLayout w:type="fixed"/>
        </w:tblPrEx>
        <w:trPr>
          <w:cantSplit/>
          <w:trHeight w:hRule="exact" w:val="255"/>
        </w:trPr>
        <w:tc>
          <w:tcPr>
            <w:tcW w:w="3000"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center"/>
            </w:pPr>
            <w:r>
              <w:rPr>
                <w:rFonts w:ascii="Times New Roman" w:eastAsia="Times New Roman" w:hAnsi="Times New Roman" w:cs="Times New Roman"/>
                <w:b/>
                <w:i w:val="0"/>
                <w:color w:val="000000"/>
                <w:sz w:val="16"/>
                <w:u w:val="none"/>
              </w:rPr>
              <w:t>Common Stock, par value $0.01</w:t>
            </w:r>
          </w:p>
        </w:tc>
        <w:tc>
          <w:tcPr>
            <w:tcW w:w="16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000"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center"/>
            </w:pPr>
            <w:r>
              <w:rPr>
                <w:rFonts w:ascii="Times New Roman" w:eastAsia="Times New Roman" w:hAnsi="Times New Roman" w:cs="Times New Roman"/>
                <w:b/>
                <w:i w:val="0"/>
                <w:color w:val="000000"/>
                <w:sz w:val="16"/>
                <w:u w:val="none"/>
              </w:rPr>
              <w:t>NNBR</w:t>
            </w:r>
          </w:p>
        </w:tc>
        <w:tc>
          <w:tcPr>
            <w:tcW w:w="16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3000"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center"/>
            </w:pPr>
            <w:r>
              <w:rPr>
                <w:rFonts w:ascii="Times New Roman" w:eastAsia="Times New Roman" w:hAnsi="Times New Roman" w:cs="Times New Roman"/>
                <w:b/>
                <w:i w:val="0"/>
                <w:color w:val="000000"/>
                <w:sz w:val="16"/>
                <w:u w:val="none"/>
              </w:rPr>
              <w:t>The Nasdaq Stock Market LLC</w:t>
            </w: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945"/>
        <w:gridCol w:w="315"/>
      </w:tblGrid>
      <w:tr>
        <w:tblPrEx>
          <w:tblW w:w="10260" w:type="dxa"/>
          <w:tblLayout w:type="fixed"/>
        </w:tblPrEx>
        <w:trPr>
          <w:cantSplit/>
          <w:trHeight w:hRule="auto" w:val="0"/>
        </w:trPr>
        <w:tc>
          <w:tcPr>
            <w:tcW w:w="10260" w:type="dxa"/>
            <w:gridSpan w:val="2"/>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43" w:after="2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Indicate by check mark whether the registrant is an emerging growth company as defined in Rule 405 of the Securities Act of 1933 (§230.405 of this chapter) or Rule 12b-2 of the Securities Exchange Act of 1934 (§240.12b-2 of this chapter).</w:t>
            </w:r>
          </w:p>
        </w:tc>
      </w:tr>
      <w:tr>
        <w:tblPrEx>
          <w:tblW w:w="10260" w:type="dxa"/>
          <w:tblLayout w:type="fixed"/>
        </w:tblPrEx>
        <w:trPr>
          <w:cantSplit/>
          <w:trHeight w:hRule="exact" w:val="345"/>
        </w:trPr>
        <w:tc>
          <w:tcPr>
            <w:tcW w:w="9945" w:type="dxa"/>
            <w:tcBorders>
              <w:top w:val="nil"/>
              <w:left w:val="nil"/>
              <w:bottom w:val="nil"/>
              <w:right w:val="nil"/>
            </w:tcBorders>
            <w:tcMar>
              <w:top w:w="0" w:type="dxa"/>
              <w:left w:w="0" w:type="dxa"/>
              <w:bottom w:w="0" w:type="dxa"/>
              <w:right w:w="53" w:type="dxa"/>
            </w:tcMar>
            <w:vAlign w:val="center"/>
          </w:tcPr>
          <w:p>
            <w:pPr>
              <w:keepNext/>
              <w:pageBreakBefore w:val="0"/>
              <w:spacing w:before="0" w:after="0" w:line="240" w:lineRule="auto"/>
              <w:jc w:val="right"/>
            </w:pPr>
            <w:r>
              <w:rPr>
                <w:rFonts w:ascii="Times New Roman" w:eastAsia="Times New Roman" w:hAnsi="Times New Roman" w:cs="Times New Roman"/>
                <w:b w:val="0"/>
                <w:i w:val="0"/>
                <w:color w:val="000000"/>
                <w:sz w:val="20"/>
                <w:u w:val="none"/>
              </w:rPr>
              <w:t xml:space="preserve">Emerging growth company.  </w:t>
            </w:r>
          </w:p>
        </w:tc>
        <w:tc>
          <w:tcPr>
            <w:tcW w:w="315"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jc w:val="center"/>
            </w:pPr>
            <w:r>
              <w:rPr>
                <w:rFonts w:ascii="Times New Roman" w:eastAsia="Times New Roman" w:hAnsi="Times New Roman" w:cs="Times New Roman"/>
                <w:b w:val="0"/>
                <w:i w:val="0"/>
                <w:color w:val="000000"/>
                <w:sz w:val="20"/>
                <w:u w:val="none"/>
              </w:rPr>
              <w:t>☐</w:t>
            </w:r>
          </w:p>
        </w:tc>
      </w:tr>
      <w:tr>
        <w:tblPrEx>
          <w:tblW w:w="10260" w:type="dxa"/>
          <w:tblLayout w:type="fixed"/>
        </w:tblPrEx>
        <w:trPr>
          <w:cantSplit/>
          <w:trHeight w:hRule="exact" w:val="735"/>
        </w:trPr>
        <w:tc>
          <w:tcPr>
            <w:tcW w:w="10260" w:type="dxa"/>
            <w:gridSpan w:val="2"/>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If an emerging growth company, indicate by check mark if the registrant has elected not to use the extended transition period for complying with any new or revised financial accounting standards provided pursuant to Section 13(a) of the Exchange Act.  ☐</w:t>
            </w: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9360"/>
      </w:tblGrid>
      <w:tr>
        <w:tblPrEx>
          <w:tblW w:w="9360" w:type="dxa"/>
          <w:tblLayout w:type="fixed"/>
        </w:tblPrEx>
        <w:trPr>
          <w:cantSplit/>
          <w:trHeight w:hRule="exact" w:val="60"/>
        </w:trPr>
        <w:tc>
          <w:tcPr>
            <w:tcW w:w="9360" w:type="dxa"/>
            <w:tcBorders>
              <w:top w:val="nil"/>
              <w:left w:val="nil"/>
              <w:bottom w:val="double" w:sz="8" w:space="0" w:color="000000"/>
              <w:right w:val="nil"/>
            </w:tcBorders>
            <w:tcMar>
              <w:top w:w="0" w:type="dxa"/>
              <w:left w:w="0" w:type="dxa"/>
              <w:bottom w:w="0" w:type="dxa"/>
              <w:right w:w="0" w:type="dxa"/>
            </w:tcMar>
            <w:vAlign w:val="bottom"/>
          </w:tcPr>
          <w:p>
            <w:pPr>
              <w:pageBreakBefore w:val="0"/>
              <w:spacing w:before="0" w:after="0"/>
              <w:rPr>
                <w:rFonts w:ascii="Times New Roman" w:eastAsia="Times New Roman" w:hAnsi="Times New Roman" w:cs="Times New Roman"/>
                <w:sz w:val="24"/>
              </w:rPr>
            </w:pPr>
          </w:p>
        </w:tc>
      </w:tr>
    </w:tbl>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2"/>
        </w:rPr>
      </w:pPr>
    </w:p>
    <w:p>
      <w:pPr>
        <w:keepNext w:val="0"/>
        <w:keepLines w:val="0"/>
        <w:pageBreakBefore w:val="0"/>
        <w:widowControl/>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2"/>
        </w:rPr>
        <w:sectPr>
          <w:headerReference w:type="default" r:id="rId5"/>
          <w:footerReference w:type="default" r:id="rId6"/>
          <w:type w:val="continuous"/>
          <w:pgSz w:w="12240" w:h="15840"/>
          <w:pgMar w:top="450" w:right="1440" w:bottom="1440" w:left="1440" w:header="0" w:footer="0" w:gutter="0"/>
          <w:cols w:space="708"/>
          <w:docGrid w:linePitch="360"/>
        </w:sectPr>
      </w:pPr>
    </w:p>
    <w:p>
      <w:pPr>
        <w:keepNext w:val="0"/>
        <w:keepLines w:val="0"/>
        <w:pageBreakBefore w:val="0"/>
        <w:widowControl/>
        <w:numPr>
          <w:ilvl w:val="0"/>
          <w:numId w:val="0"/>
        </w:numPr>
        <w:spacing w:before="0" w:after="60" w:line="334" w:lineRule="auto"/>
        <w:ind w:left="1440" w:right="0" w:hanging="1440"/>
        <w:jc w:val="left"/>
        <w:outlineLvl w:val="0"/>
        <w:rPr>
          <w:rFonts w:ascii="Times New Roman" w:eastAsia="Times New Roman" w:hAnsi="Times New Roman" w:cs="Times New Roman"/>
          <w:b w:val="0"/>
          <w:i w:val="0"/>
          <w:sz w:val="24"/>
        </w:rPr>
      </w:pPr>
      <w:bookmarkStart w:id="0" w:name="Section2"/>
      <w:bookmarkEnd w:id="0"/>
      <w:r>
        <w:rPr>
          <w:rFonts w:ascii="Times New Roman" w:eastAsia="Times New Roman" w:hAnsi="Times New Roman" w:cs="Times New Roman"/>
          <w:b/>
          <w:i w:val="0"/>
          <w:sz w:val="20"/>
        </w:rPr>
        <w:t>ITEM 7.01</w:t>
      </w:r>
      <w:r>
        <w:rPr>
          <w:rFonts w:ascii="Times New Roman" w:eastAsia="Times New Roman" w:hAnsi="Times New Roman" w:cs="Times New Roman"/>
          <w:b/>
          <w:i w:val="0"/>
          <w:sz w:val="20"/>
        </w:rPr>
        <w:tab/>
      </w:r>
      <w:r>
        <w:rPr>
          <w:rFonts w:ascii="Times New Roman" w:eastAsia="Times New Roman" w:hAnsi="Times New Roman" w:cs="Times New Roman"/>
          <w:b/>
          <w:i w:val="0"/>
          <w:sz w:val="20"/>
        </w:rPr>
        <w:t>REGULATION FD DISCLOSURE</w:t>
      </w:r>
    </w:p>
    <w:p>
      <w:pPr>
        <w:keepNext w:val="0"/>
        <w:keepLines w:val="0"/>
        <w:pageBreakBefore w:val="0"/>
        <w:widowControl/>
        <w:numPr>
          <w:ilvl w:val="0"/>
          <w:numId w:val="0"/>
        </w:numPr>
        <w:spacing w:before="0" w:after="0" w:line="319" w:lineRule="auto"/>
        <w:ind w:left="0" w:right="0" w:firstLine="72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On </w:t>
      </w:r>
      <w:r>
        <w:rPr>
          <w:rFonts w:ascii="Times New Roman" w:eastAsia="Times New Roman" w:hAnsi="Times New Roman" w:cs="Times New Roman"/>
          <w:b w:val="0"/>
          <w:i w:val="0"/>
          <w:sz w:val="20"/>
        </w:rPr>
        <w:t>August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20</w:t>
      </w:r>
      <w:r>
        <w:rPr>
          <w:rFonts w:ascii="Times New Roman" w:eastAsia="Times New Roman" w:hAnsi="Times New Roman" w:cs="Times New Roman"/>
          <w:b w:val="0"/>
          <w:i w:val="0"/>
          <w:sz w:val="20"/>
        </w:rPr>
        <w:t xml:space="preserve">, 2026, NN, Inc., a Delaware corporation (the “Company”), posted an updated copy of the investor presentation to its website at https://investors.nninc.com. The presentation will be used at </w:t>
      </w:r>
      <w:r>
        <w:rPr>
          <w:rFonts w:ascii="Times New Roman" w:eastAsia="Times New Roman" w:hAnsi="Times New Roman" w:cs="Times New Roman"/>
          <w:b w:val="0"/>
          <w:i w:val="0"/>
          <w:sz w:val="20"/>
        </w:rPr>
        <w:t xml:space="preserve">a virtual non-deal roadshow on </w:t>
      </w:r>
      <w:r>
        <w:rPr>
          <w:rFonts w:ascii="Times New Roman" w:eastAsia="Times New Roman" w:hAnsi="Times New Roman" w:cs="Times New Roman"/>
          <w:b w:val="0"/>
          <w:i w:val="0"/>
          <w:sz w:val="20"/>
        </w:rPr>
        <w:t>August 20, 2026</w:t>
      </w:r>
      <w:r>
        <w:rPr>
          <w:rFonts w:ascii="Times New Roman" w:eastAsia="Times New Roman" w:hAnsi="Times New Roman" w:cs="Times New Roman"/>
          <w:b w:val="0"/>
          <w:i w:val="0"/>
          <w:sz w:val="20"/>
        </w:rPr>
        <w:t>. A copy of this presentation is included as Exhibit 99.1 to this Current Report.</w:t>
      </w:r>
    </w:p>
    <w:p>
      <w:pPr>
        <w:keepNext w:val="0"/>
        <w:keepLines w:val="0"/>
        <w:pageBreakBefore w:val="0"/>
        <w:widowControl/>
        <w:numPr>
          <w:ilvl w:val="0"/>
          <w:numId w:val="0"/>
        </w:numPr>
        <w:spacing w:before="0" w:after="0" w:line="319" w:lineRule="auto"/>
        <w:ind w:left="0" w:right="0" w:firstLine="72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312" w:lineRule="auto"/>
        <w:ind w:left="0" w:right="0" w:firstLine="72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Pursuant to the rules and regulations of the U.S. Securities and Exchange Commission, the information furnished pursuant to this Item 7.01 of this Current Report (including Exhibit 99.1) is deemed to have been furnished and shall not be deemed “filed” for the purposes of Section 18 of the Securities Exchange Act of 1934, as amended, or otherwise subject to the liabilities of that section. Such information shall not be incorporated by reference into any other filing of the Company under the Securities Act of 1933, as amended, or the Exchange Act, whether made before or after the date hereof, regardless of any general incorporation language in such filing.</w:t>
      </w:r>
    </w:p>
    <w:p>
      <w:pPr>
        <w:keepNext w:val="0"/>
        <w:keepLines w:val="0"/>
        <w:pageBreakBefore w:val="0"/>
        <w:widowControl/>
        <w:numPr>
          <w:ilvl w:val="0"/>
          <w:numId w:val="0"/>
        </w:numPr>
        <w:spacing w:before="0" w:after="0" w:line="31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312" w:lineRule="auto"/>
        <w:ind w:left="0" w:right="0" w:firstLine="72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The Company routinely uses its investor relations website (https://investors.nninc.com) to post presentations to investors and other important information, including information that may be material. Accordingly, the Company encourages investors and others interested in the Company to review the information it makes public on its investor relations website.</w:t>
      </w:r>
    </w:p>
    <w:p>
      <w:pPr>
        <w:keepNext w:val="0"/>
        <w:keepLines w:val="0"/>
        <w:pageBreakBefore w:val="0"/>
        <w:widowControl/>
        <w:numPr>
          <w:ilvl w:val="0"/>
          <w:numId w:val="0"/>
        </w:numPr>
        <w:spacing w:before="0" w:after="0" w:line="312" w:lineRule="auto"/>
        <w:ind w:left="0" w:right="0" w:firstLine="72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312" w:lineRule="auto"/>
        <w:ind w:left="0" w:right="0" w:firstLine="720"/>
        <w:jc w:val="left"/>
        <w:outlineLvl w:val="9"/>
        <w:sectPr>
          <w:headerReference w:type="default" r:id="rId7"/>
          <w:pgSz w:w="12240" w:h="15840"/>
          <w:pgMar w:top="1440" w:right="1440" w:bottom="1440" w:left="1440" w:header="0" w:footer="0"/>
          <w:cols w:space="708"/>
        </w:sectPr>
      </w:pPr>
    </w:p>
    <w:p>
      <w:pPr>
        <w:keepNext w:val="0"/>
        <w:keepLines w:val="0"/>
        <w:pageBreakBefore w:val="0"/>
        <w:widowControl/>
        <w:numPr>
          <w:ilvl w:val="0"/>
          <w:numId w:val="0"/>
        </w:numPr>
        <w:spacing w:before="0" w:after="0" w:line="269" w:lineRule="auto"/>
        <w:ind w:left="0" w:right="0" w:firstLine="0"/>
        <w:jc w:val="left"/>
        <w:outlineLvl w:val="1"/>
        <w:rPr>
          <w:rFonts w:ascii="Times New Roman" w:eastAsia="Times New Roman" w:hAnsi="Times New Roman" w:cs="Times New Roman"/>
          <w:b w:val="0"/>
          <w:i w:val="0"/>
          <w:sz w:val="24"/>
        </w:rPr>
      </w:pPr>
      <w:bookmarkStart w:id="1" w:name="Section3"/>
      <w:bookmarkEnd w:id="1"/>
      <w:r>
        <w:rPr>
          <w:rFonts w:ascii="Times New Roman" w:eastAsia="Times New Roman" w:hAnsi="Times New Roman" w:cs="Times New Roman"/>
          <w:b/>
          <w:i w:val="0"/>
          <w:sz w:val="20"/>
        </w:rPr>
        <w:t xml:space="preserve">ITEM 9.01 FINANCIAL STATEMENTS AND EXHIBITS </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(d) Exhibits.</w:t>
      </w:r>
    </w:p>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tbl>
      <w:tblPr>
        <w:tblW w:w="10260" w:type="dxa"/>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645"/>
        <w:gridCol w:w="165"/>
        <w:gridCol w:w="9450"/>
      </w:tblGrid>
      <w:tr>
        <w:tblPrEx>
          <w:tblW w:w="10260" w:type="dxa"/>
          <w:tblInd w:w="0" w:type="dxa"/>
          <w:tblLayout w:type="fixed"/>
        </w:tblPrEx>
        <w:trPr>
          <w:cantSplit/>
          <w:trHeight w:hRule="auto" w:val="0"/>
        </w:trPr>
        <w:tc>
          <w:tcPr>
            <w:tcW w:w="645" w:type="dxa"/>
            <w:tcBorders>
              <w:top w:val="nil"/>
              <w:left w:val="nil"/>
              <w:bottom w:val="nil"/>
              <w:right w:val="nil"/>
            </w:tcBorders>
            <w:tcMar>
              <w:top w:w="0" w:type="dxa"/>
              <w:left w:w="53" w:type="dxa"/>
              <w:bottom w:w="0" w:type="dxa"/>
              <w:right w:w="53" w:type="dxa"/>
            </w:tcMar>
            <w:vAlign w:val="bottom"/>
          </w:tcPr>
          <w:p>
            <w:pPr>
              <w:keepNext/>
              <w:pageBreakBefore w:val="0"/>
              <w:spacing w:before="43" w:line="240" w:lineRule="auto"/>
              <w:jc w:val="center"/>
            </w:pPr>
            <w:r>
              <w:rPr>
                <w:rFonts w:ascii="Times New Roman" w:eastAsia="Times New Roman" w:hAnsi="Times New Roman" w:cs="Times New Roman"/>
                <w:b/>
                <w:i w:val="0"/>
                <w:color w:val="000000"/>
                <w:sz w:val="16"/>
                <w:u w:val="single"/>
              </w:rPr>
              <w:t>Exhibit</w:t>
            </w:r>
          </w:p>
          <w:p>
            <w:pPr>
              <w:spacing w:after="20" w:line="240" w:lineRule="auto"/>
              <w:jc w:val="center"/>
            </w:pPr>
            <w:r>
              <w:rPr>
                <w:rFonts w:ascii="Times New Roman" w:eastAsia="Times New Roman" w:hAnsi="Times New Roman" w:cs="Times New Roman"/>
                <w:b/>
                <w:i w:val="0"/>
                <w:color w:val="000000"/>
                <w:sz w:val="16"/>
                <w:u w:val="single"/>
              </w:rPr>
              <w:t>No.</w:t>
            </w:r>
          </w:p>
        </w:tc>
        <w:tc>
          <w:tcPr>
            <w:tcW w:w="165" w:type="dxa"/>
            <w:tcBorders>
              <w:top w:val="nil"/>
              <w:left w:val="nil"/>
              <w:bottom w:val="nil"/>
              <w:right w:val="nil"/>
            </w:tcBorders>
            <w:tcMar>
              <w:top w:w="0" w:type="dxa"/>
              <w:left w:w="53" w:type="dxa"/>
              <w:bottom w:w="0" w:type="dxa"/>
              <w:right w:w="53" w:type="dxa"/>
            </w:tcMar>
            <w:vAlign w:val="bottom"/>
          </w:tcPr>
          <w:p>
            <w:pPr>
              <w:keepNext/>
              <w:pageBreakBefore w:val="0"/>
              <w:spacing w:before="43" w:after="20" w:line="240" w:lineRule="auto"/>
              <w:jc w:val="left"/>
            </w:pPr>
            <w:r>
              <w:rPr>
                <w:rFonts w:ascii="Times New Roman" w:eastAsia="Times New Roman" w:hAnsi="Times New Roman" w:cs="Times New Roman"/>
                <w:b w:val="0"/>
                <w:i w:val="0"/>
                <w:color w:val="000000"/>
                <w:sz w:val="16"/>
                <w:u w:val="none"/>
              </w:rPr>
              <w:t>  </w:t>
            </w:r>
          </w:p>
        </w:tc>
        <w:tc>
          <w:tcPr>
            <w:tcW w:w="9450" w:type="dxa"/>
            <w:tcBorders>
              <w:top w:val="nil"/>
              <w:left w:val="nil"/>
              <w:bottom w:val="nil"/>
              <w:right w:val="nil"/>
            </w:tcBorders>
            <w:tcMar>
              <w:top w:w="0" w:type="dxa"/>
              <w:left w:w="53" w:type="dxa"/>
              <w:bottom w:w="0" w:type="dxa"/>
              <w:right w:w="53" w:type="dxa"/>
            </w:tcMar>
            <w:vAlign w:val="bottom"/>
          </w:tcPr>
          <w:p>
            <w:pPr>
              <w:keepNext/>
              <w:pageBreakBefore w:val="0"/>
              <w:spacing w:before="43" w:after="20" w:line="240" w:lineRule="auto"/>
              <w:jc w:val="left"/>
            </w:pPr>
            <w:r>
              <w:rPr>
                <w:rFonts w:ascii="Times New Roman" w:eastAsia="Times New Roman" w:hAnsi="Times New Roman" w:cs="Times New Roman"/>
                <w:b/>
                <w:i w:val="0"/>
                <w:color w:val="000000"/>
                <w:sz w:val="16"/>
                <w:u w:val="single"/>
              </w:rPr>
              <w:t>Description of Exhibit</w:t>
            </w:r>
          </w:p>
        </w:tc>
      </w:tr>
      <w:tr>
        <w:tblPrEx>
          <w:tblW w:w="10260" w:type="dxa"/>
          <w:tblInd w:w="0" w:type="dxa"/>
          <w:tblLayout w:type="fixed"/>
        </w:tblPrEx>
        <w:trPr>
          <w:cantSplit/>
          <w:trHeight w:hRule="exact" w:val="315"/>
        </w:trPr>
        <w:tc>
          <w:tcPr>
            <w:tcW w:w="645" w:type="dxa"/>
            <w:tcBorders>
              <w:top w:val="nil"/>
              <w:left w:val="nil"/>
              <w:bottom w:val="nil"/>
              <w:right w:val="nil"/>
            </w:tcBorders>
            <w:tcMar>
              <w:top w:w="0" w:type="dxa"/>
              <w:left w:w="53" w:type="dxa"/>
              <w:bottom w:w="0" w:type="dxa"/>
              <w:right w:w="15" w:type="dxa"/>
            </w:tcMar>
            <w:vAlign w:val="top"/>
          </w:tcPr>
          <w:p>
            <w:pPr>
              <w:keepNext/>
              <w:pageBreakBefore w:val="0"/>
              <w:spacing w:before="53" w:after="30" w:line="240" w:lineRule="auto"/>
              <w:jc w:val="center"/>
            </w:pPr>
            <w:r>
              <w:rPr>
                <w:rFonts w:ascii="Times New Roman" w:eastAsia="Times New Roman" w:hAnsi="Times New Roman" w:cs="Times New Roman"/>
                <w:b w:val="0"/>
                <w:i w:val="0"/>
                <w:color w:val="000000"/>
                <w:sz w:val="20"/>
                <w:u w:val="none"/>
              </w:rPr>
              <w:t>99.1</w:t>
            </w:r>
          </w:p>
        </w:tc>
        <w:tc>
          <w:tcPr>
            <w:tcW w:w="1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53" w:after="3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8" w:history="1">
              <w:r>
                <w:rPr>
                  <w:rFonts w:ascii="Times New Roman" w:eastAsia="Times New Roman" w:hAnsi="Times New Roman" w:cs="Times New Roman"/>
                  <w:b w:val="0"/>
                  <w:i w:val="0"/>
                  <w:color w:val="0000FF"/>
                  <w:sz w:val="20"/>
                  <w:u w:val="single"/>
                  <w:shd w:val="clear" w:color="auto" w:fill="auto"/>
                </w:rPr>
                <w:t>NN, Inc. Virtual NDR Presentation August 2026</w:t>
              </w:r>
            </w:hyperlink>
          </w:p>
        </w:tc>
      </w:tr>
      <w:tr>
        <w:tblPrEx>
          <w:tblW w:w="10260" w:type="dxa"/>
          <w:tblInd w:w="0" w:type="dxa"/>
          <w:tblLayout w:type="fixed"/>
        </w:tblPrEx>
        <w:trPr>
          <w:cantSplit/>
          <w:trHeight w:hRule="auto" w:val="0"/>
        </w:trPr>
        <w:tc>
          <w:tcPr>
            <w:tcW w:w="645" w:type="dxa"/>
            <w:tcBorders>
              <w:top w:val="nil"/>
              <w:left w:val="nil"/>
              <w:bottom w:val="nil"/>
              <w:right w:val="nil"/>
            </w:tcBorders>
            <w:tcMar>
              <w:top w:w="0" w:type="dxa"/>
              <w:left w:w="53" w:type="dxa"/>
              <w:bottom w:w="0" w:type="dxa"/>
              <w:right w:w="15" w:type="dxa"/>
            </w:tcMar>
            <w:vAlign w:val="top"/>
          </w:tcPr>
          <w:p>
            <w:pPr>
              <w:pageBreakBefore w:val="0"/>
              <w:spacing w:before="43" w:after="20" w:line="240" w:lineRule="auto"/>
              <w:jc w:val="center"/>
            </w:pPr>
            <w:r>
              <w:rPr>
                <w:rFonts w:ascii="Times New Roman" w:eastAsia="Times New Roman" w:hAnsi="Times New Roman" w:cs="Times New Roman"/>
                <w:b w:val="0"/>
                <w:i w:val="0"/>
                <w:color w:val="000000"/>
                <w:sz w:val="20"/>
                <w:u w:val="none"/>
              </w:rPr>
              <w:t>104</w:t>
            </w:r>
          </w:p>
        </w:tc>
        <w:tc>
          <w:tcPr>
            <w:tcW w:w="16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9450" w:type="dxa"/>
            <w:tcBorders>
              <w:top w:val="nil"/>
              <w:left w:val="nil"/>
              <w:bottom w:val="nil"/>
              <w:right w:val="nil"/>
            </w:tcBorders>
            <w:tcMar>
              <w:top w:w="0" w:type="dxa"/>
              <w:left w:w="53" w:type="dxa"/>
              <w:bottom w:w="0" w:type="dxa"/>
              <w:right w:w="53" w:type="dxa"/>
            </w:tcMar>
            <w:vAlign w:val="top"/>
          </w:tcPr>
          <w:p>
            <w:pPr>
              <w:pageBreakBefore w:val="0"/>
              <w:spacing w:before="43" w:after="20" w:line="240" w:lineRule="auto"/>
              <w:jc w:val="left"/>
            </w:pPr>
            <w:r>
              <w:rPr>
                <w:rFonts w:ascii="Times New Roman" w:eastAsia="Times New Roman" w:hAnsi="Times New Roman" w:cs="Times New Roman"/>
                <w:b w:val="0"/>
                <w:i w:val="0"/>
                <w:color w:val="000000"/>
                <w:sz w:val="20"/>
                <w:u w:val="none"/>
              </w:rPr>
              <w:t>Cover Page Interactive Data File (embedded within the Inline XBRL document)</w:t>
            </w: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sectPr>
          <w:type w:val="continuous"/>
          <w:pgSz w:w="12240" w:h="15840"/>
          <w:pgMar w:top="1440" w:right="1440" w:bottom="1440" w:left="1440" w:header="0" w:footer="0"/>
          <w:cols w:space="708"/>
        </w:sectPr>
      </w:pPr>
    </w:p>
    <w:p>
      <w:pPr>
        <w:keepNext w:val="0"/>
        <w:keepLines w:val="0"/>
        <w:pageBreakBefore w:val="0"/>
        <w:widowControl/>
        <w:numPr>
          <w:ilvl w:val="0"/>
          <w:numId w:val="0"/>
        </w:numPr>
        <w:spacing w:before="0" w:after="0" w:line="288" w:lineRule="auto"/>
        <w:ind w:left="0" w:right="0" w:firstLine="0"/>
        <w:jc w:val="center"/>
        <w:outlineLvl w:val="0"/>
        <w:rPr>
          <w:rFonts w:ascii="Times New Roman" w:eastAsia="Times New Roman" w:hAnsi="Times New Roman" w:cs="Times New Roman"/>
          <w:b/>
          <w:i w:val="0"/>
          <w:sz w:val="20"/>
        </w:rPr>
      </w:pPr>
      <w:bookmarkStart w:id="2" w:name="Section4"/>
      <w:bookmarkEnd w:id="2"/>
      <w:r>
        <w:rPr>
          <w:rFonts w:ascii="Times New Roman" w:eastAsia="Times New Roman" w:hAnsi="Times New Roman" w:cs="Times New Roman"/>
          <w:b/>
          <w:i w:val="0"/>
          <w:sz w:val="20"/>
        </w:rPr>
        <w:t>SIGNATURES</w:t>
      </w:r>
    </w:p>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600"/>
        <w:gridCol w:w="9660"/>
      </w:tblGrid>
      <w:tr>
        <w:tblPrEx>
          <w:tblW w:w="10260" w:type="dxa"/>
          <w:tblLayout w:type="fixed"/>
        </w:tblPrEx>
        <w:trPr>
          <w:cantSplit/>
          <w:trHeight w:hRule="auto" w:val="0"/>
        </w:trPr>
        <w:tc>
          <w:tcPr>
            <w:tcW w:w="10260" w:type="dxa"/>
            <w:gridSpan w:val="2"/>
            <w:tcBorders>
              <w:top w:val="nil"/>
              <w:left w:val="nil"/>
              <w:bottom w:val="nil"/>
              <w:right w:val="nil"/>
            </w:tcBorders>
            <w:tcMar>
              <w:top w:w="0" w:type="dxa"/>
              <w:left w:w="53" w:type="dxa"/>
              <w:bottom w:w="0" w:type="dxa"/>
              <w:right w:w="53" w:type="dxa"/>
            </w:tcMar>
            <w:vAlign w:val="bottom"/>
          </w:tcPr>
          <w:p>
            <w:pPr>
              <w:keepNext/>
              <w:pageBreakBefore w:val="0"/>
              <w:numPr>
                <w:ilvl w:val="0"/>
                <w:numId w:val="0"/>
              </w:numPr>
              <w:spacing w:before="43" w:after="20" w:line="240" w:lineRule="auto"/>
              <w:ind w:left="0" w:right="0" w:firstLine="495"/>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the registrant has duly caused this report to be signed on its behalf by the undersigned hereunto duly authorized.</w:t>
            </w:r>
          </w:p>
        </w:tc>
      </w:tr>
      <w:tr>
        <w:tblPrEx>
          <w:tblW w:w="10260" w:type="dxa"/>
          <w:tblLayout w:type="fixed"/>
        </w:tblPrEx>
        <w:trPr>
          <w:cantSplit/>
          <w:trHeight w:hRule="auto" w:val="0"/>
        </w:trPr>
        <w:tc>
          <w:tcPr>
            <w:tcW w:w="60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966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r>
      <w:tr>
        <w:tblPrEx>
          <w:tblW w:w="10260" w:type="dxa"/>
          <w:tblLayout w:type="fixed"/>
        </w:tblPrEx>
        <w:trPr>
          <w:cantSplit/>
          <w:trHeight w:hRule="auto" w:val="0"/>
        </w:trPr>
        <w:tc>
          <w:tcPr>
            <w:tcW w:w="60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jc w:val="left"/>
            </w:pPr>
            <w:r>
              <w:rPr>
                <w:rFonts w:ascii="Times New Roman" w:eastAsia="Times New Roman" w:hAnsi="Times New Roman" w:cs="Times New Roman"/>
                <w:b w:val="0"/>
                <w:i w:val="0"/>
                <w:color w:val="000000"/>
                <w:sz w:val="20"/>
                <w:u w:val="none"/>
              </w:rPr>
              <w:t xml:space="preserve">Date: </w:t>
            </w:r>
          </w:p>
        </w:tc>
        <w:tc>
          <w:tcPr>
            <w:tcW w:w="9660" w:type="dxa"/>
            <w:tcBorders>
              <w:top w:val="nil"/>
              <w:left w:val="nil"/>
              <w:bottom w:val="nil"/>
              <w:right w:val="nil"/>
            </w:tcBorders>
            <w:tcMar>
              <w:top w:w="0" w:type="dxa"/>
              <w:left w:w="53" w:type="dxa"/>
              <w:bottom w:w="0" w:type="dxa"/>
              <w:right w:w="53" w:type="dxa"/>
            </w:tcMar>
            <w:vAlign w:val="bottom"/>
          </w:tcPr>
          <w:p>
            <w:pPr>
              <w:pageBreakBefore w:val="0"/>
              <w:spacing w:before="43" w:after="20" w:line="240" w:lineRule="auto"/>
              <w:jc w:val="left"/>
            </w:pPr>
            <w:r>
              <w:rPr>
                <w:rFonts w:ascii="Times New Roman" w:eastAsia="Times New Roman" w:hAnsi="Times New Roman" w:cs="Times New Roman"/>
                <w:b w:val="0"/>
                <w:i w:val="0"/>
                <w:color w:val="000000"/>
                <w:sz w:val="20"/>
                <w:u w:val="none"/>
              </w:rPr>
              <w:t>August 20, 2026</w:t>
            </w:r>
          </w:p>
        </w:tc>
      </w:tr>
    </w:tbl>
    <w:p>
      <w:pPr>
        <w:keepNext w:val="0"/>
        <w:keepLines w:val="0"/>
        <w:pageBreakBefore w:val="0"/>
        <w:widowControl/>
        <w:numPr>
          <w:ilvl w:val="0"/>
          <w:numId w:val="0"/>
        </w:numPr>
        <w:spacing w:before="0" w:after="100" w:line="240" w:lineRule="auto"/>
        <w:ind w:left="0" w:right="0" w:firstLine="0"/>
        <w:jc w:val="left"/>
        <w:outlineLvl w:val="9"/>
        <w:rPr>
          <w:rFonts w:ascii="Times New Roman" w:eastAsia="Times New Roman" w:hAnsi="Times New Roman" w:cs="Times New Roman"/>
          <w:b w:val="0"/>
          <w:i w:val="0"/>
          <w:sz w:val="24"/>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965"/>
        <w:gridCol w:w="945"/>
        <w:gridCol w:w="4350"/>
      </w:tblGrid>
      <w:tr>
        <w:tblPrEx>
          <w:tblW w:w="10260" w:type="dxa"/>
          <w:tblLayout w:type="fixed"/>
        </w:tblPrEx>
        <w:trPr>
          <w:cantSplit/>
          <w:trHeight w:hRule="exact" w:val="255"/>
        </w:trPr>
        <w:tc>
          <w:tcPr>
            <w:tcW w:w="49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295" w:type="dxa"/>
            <w:gridSpan w:val="2"/>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i w:val="0"/>
                <w:color w:val="000000"/>
                <w:sz w:val="20"/>
                <w:u w:val="none"/>
              </w:rPr>
              <w:t>NN, INC.</w:t>
            </w:r>
          </w:p>
        </w:tc>
      </w:tr>
      <w:tr>
        <w:tblPrEx>
          <w:tblW w:w="10260" w:type="dxa"/>
          <w:tblLayout w:type="fixed"/>
        </w:tblPrEx>
        <w:trPr>
          <w:cantSplit/>
          <w:trHeight w:hRule="exact" w:val="300"/>
        </w:trPr>
        <w:tc>
          <w:tcPr>
            <w:tcW w:w="49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435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r>
      <w:tr>
        <w:tblPrEx>
          <w:tblW w:w="10260" w:type="dxa"/>
          <w:tblLayout w:type="fixed"/>
        </w:tblPrEx>
        <w:trPr>
          <w:cantSplit/>
          <w:trHeight w:hRule="exact" w:val="285"/>
        </w:trPr>
        <w:tc>
          <w:tcPr>
            <w:tcW w:w="49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53" w:type="dxa"/>
              <w:bottom w:w="0" w:type="dxa"/>
              <w:right w:w="53" w:type="dxa"/>
            </w:tcMar>
            <w:vAlign w:val="top"/>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By:</w:t>
            </w:r>
          </w:p>
        </w:tc>
        <w:tc>
          <w:tcPr>
            <w:tcW w:w="435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3" w:after="30" w:line="240" w:lineRule="auto"/>
              <w:jc w:val="left"/>
            </w:pPr>
            <w:r>
              <w:rPr>
                <w:rFonts w:ascii="Times New Roman" w:eastAsia="Times New Roman" w:hAnsi="Times New Roman" w:cs="Times New Roman"/>
                <w:b w:val="0"/>
                <w:i w:val="0"/>
                <w:color w:val="000000"/>
                <w:sz w:val="20"/>
                <w:u w:val="none"/>
              </w:rPr>
              <w:t>/s/ Christopher H. Bohnert</w:t>
            </w:r>
          </w:p>
        </w:tc>
      </w:tr>
      <w:tr>
        <w:tblPrEx>
          <w:tblW w:w="10260" w:type="dxa"/>
          <w:tblLayout w:type="fixed"/>
        </w:tblPrEx>
        <w:trPr>
          <w:cantSplit/>
          <w:trHeight w:hRule="exact" w:val="285"/>
        </w:trPr>
        <w:tc>
          <w:tcPr>
            <w:tcW w:w="496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45" w:type="dxa"/>
            <w:tcBorders>
              <w:top w:val="nil"/>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Name:</w:t>
            </w:r>
          </w:p>
        </w:tc>
        <w:tc>
          <w:tcPr>
            <w:tcW w:w="435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33" w:after="30" w:line="240" w:lineRule="auto"/>
              <w:jc w:val="left"/>
            </w:pPr>
            <w:r>
              <w:rPr>
                <w:rFonts w:ascii="Times New Roman" w:eastAsia="Times New Roman" w:hAnsi="Times New Roman" w:cs="Times New Roman"/>
                <w:b w:val="0"/>
                <w:i w:val="0"/>
                <w:color w:val="000000"/>
                <w:sz w:val="20"/>
                <w:u w:val="none"/>
              </w:rPr>
              <w:t>Christopher H. Bohnert</w:t>
            </w:r>
          </w:p>
        </w:tc>
      </w:tr>
      <w:tr>
        <w:tblPrEx>
          <w:tblW w:w="10260" w:type="dxa"/>
          <w:tblLayout w:type="fixed"/>
        </w:tblPrEx>
        <w:trPr>
          <w:cantSplit/>
          <w:trHeight w:hRule="exact" w:val="285"/>
        </w:trPr>
        <w:tc>
          <w:tcPr>
            <w:tcW w:w="496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945" w:type="dxa"/>
            <w:tcBorders>
              <w:top w:val="nil"/>
              <w:left w:val="nil"/>
              <w:bottom w:val="nil"/>
              <w:right w:val="nil"/>
            </w:tcBorders>
            <w:tcMar>
              <w:top w:w="0" w:type="dxa"/>
              <w:left w:w="53" w:type="dxa"/>
              <w:bottom w:w="0" w:type="dxa"/>
              <w:right w:w="53" w:type="dxa"/>
            </w:tcMar>
            <w:vAlign w:val="top"/>
          </w:tcPr>
          <w:p>
            <w:pPr>
              <w:pageBreakBefore w:val="0"/>
              <w:spacing w:before="53" w:after="30" w:line="240" w:lineRule="auto"/>
              <w:jc w:val="left"/>
            </w:pPr>
            <w:r>
              <w:rPr>
                <w:rFonts w:ascii="Times New Roman" w:eastAsia="Times New Roman" w:hAnsi="Times New Roman" w:cs="Times New Roman"/>
                <w:b w:val="0"/>
                <w:i w:val="0"/>
                <w:color w:val="000000"/>
                <w:sz w:val="20"/>
                <w:u w:val="none"/>
              </w:rPr>
              <w:t>Title:</w:t>
            </w:r>
          </w:p>
        </w:tc>
        <w:tc>
          <w:tcPr>
            <w:tcW w:w="4350" w:type="dxa"/>
            <w:tcBorders>
              <w:top w:val="nil"/>
              <w:left w:val="nil"/>
              <w:bottom w:val="nil"/>
              <w:right w:val="nil"/>
            </w:tcBorders>
            <w:tcMar>
              <w:top w:w="0" w:type="dxa"/>
              <w:left w:w="53" w:type="dxa"/>
              <w:bottom w:w="0" w:type="dxa"/>
              <w:right w:w="53" w:type="dxa"/>
            </w:tcMar>
            <w:vAlign w:val="bottom"/>
          </w:tcPr>
          <w:p>
            <w:pPr>
              <w:pageBreakBefore w:val="0"/>
              <w:spacing w:before="53" w:after="30" w:line="240" w:lineRule="auto"/>
              <w:jc w:val="left"/>
            </w:pPr>
            <w:r>
              <w:rPr>
                <w:rFonts w:ascii="Times New Roman" w:eastAsia="Times New Roman" w:hAnsi="Times New Roman" w:cs="Times New Roman"/>
                <w:b w:val="0"/>
                <w:i w:val="0"/>
                <w:color w:val="000000"/>
                <w:sz w:val="20"/>
                <w:u w:val="none"/>
              </w:rPr>
              <w:t>Senior Vice President and Chief Financial Officer</w:t>
            </w:r>
          </w:p>
        </w:tc>
      </w:tr>
    </w:tbl>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pPr>
    </w:p>
    <w:p>
      <w:pPr>
        <w:keepNext w:val="0"/>
        <w:keepLines w:val="0"/>
        <w:pageBreakBefore w:val="0"/>
        <w:widowControl/>
        <w:numPr>
          <w:ilvl w:val="0"/>
          <w:numId w:val="0"/>
        </w:numPr>
        <w:spacing w:before="100" w:after="0" w:line="240" w:lineRule="auto"/>
        <w:ind w:left="0" w:right="0" w:firstLine="0"/>
        <w:jc w:val="center"/>
        <w:outlineLvl w:val="9"/>
        <w:rPr>
          <w:rFonts w:ascii="Times New Roman" w:eastAsia="Times New Roman" w:hAnsi="Times New Roman" w:cs="Times New Roman"/>
          <w:b w:val="0"/>
          <w:i w:val="0"/>
          <w:sz w:val="24"/>
        </w:rPr>
        <w:sectPr>
          <w:pgSz w:w="12240" w:h="15840"/>
          <w:pgMar w:top="1440" w:right="1440" w:bottom="1440" w:left="1440" w:header="0" w:footer="0"/>
          <w:cols w:space="708"/>
        </w:sectPr>
      </w:pPr>
    </w:p>
    <w:p>
      <w:pPr>
        <w:spacing w:before="0" w:after="0" w:line="240" w:lineRule="auto"/>
        <w:jc w:val="center"/>
      </w:pPr>
      <w:r>
        <w:drawing>
          <wp:inline distT="0" distB="0" distL="0" distR="0">
            <wp:extent cx="9144000" cy="5143500"/>
            <wp:effectExtent l="0" t="0" r="0" b="0"/>
            <wp:docPr id="101" name="Slide 1" descr="NN, Inc. Investor Presentation, August 2026 - slide 1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2"/>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2" name="Slide 2" descr="NN, Inc. Investor Presentation, August 2026 - slide 2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3"/>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3" name="Slide 3" descr="NN, Inc. Investor Presentation, August 2026 - slide 3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4"/>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4" name="Slide 4" descr="NN, Inc. Investor Presentation, August 2026 - slide 4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5"/>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5" name="Slide 5" descr="NN, Inc. Investor Presentation, August 2026 - slide 5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6"/>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6" name="Slide 6" descr="NN, Inc. Investor Presentation, August 2026 - slide 6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7"/>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7" name="Slide 7" descr="NN, Inc. Investor Presentation, August 2026 - slide 7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8"/>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8" name="Slide 8" descr="NN, Inc. Investor Presentation, August 2026 - slide 8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9"/>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09" name="Slide 9" descr="NN, Inc. Investor Presentation, August 2026 - slide 9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20"/>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0" name="Slide 10" descr="NN, Inc. Investor Presentation, August 2026 - slide 10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21"/>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1" name="Slide 11" descr="NN, Inc. Investor Presentation, August 2026 - slide 11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22"/>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2" name="Slide 12" descr="NN, Inc. Investor Presentation, August 2026 - slide 12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23"/>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3" name="Slide 13" descr="NN, Inc. Investor Presentation, August 2026 - slide 13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24"/>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4" name="Slide 14" descr="NN, Inc. Investor Presentation, August 2026 - slide 14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5"/>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5" name="Slide 15" descr="NN, Inc. Investor Presentation, August 2026 - slide 15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pic:nvPicPr>
                  <pic:blipFill>
                    <a:blip r:embed="rId26"/>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6" name="Slide 16" descr="NN, Inc. Investor Presentation, August 2026 - slide 16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ic:nvPicPr>
                  <pic:blipFill>
                    <a:blip r:embed="rId27"/>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7" name="Slide 17" descr="NN, Inc. Investor Presentation, August 2026 - slide 17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ic:nvPicPr>
                  <pic:blipFill>
                    <a:blip r:embed="rId28"/>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8" name="Slide 18" descr="NN, Inc. Investor Presentation, August 2026 - slide 18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ic:nvPicPr>
                  <pic:blipFill>
                    <a:blip r:embed="rId29"/>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19" name="Slide 19" descr="NN, Inc. Investor Presentation, August 2026 - slide 19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pic:nvPicPr>
                  <pic:blipFill>
                    <a:blip r:embed="rId30"/>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20" name="Slide 20" descr="NN, Inc. Investor Presentation, August 2026 - slide 20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pic:nvPicPr>
                  <pic:blipFill>
                    <a:blip r:embed="rId31"/>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21" name="Slide 21" descr="NN, Inc. Investor Presentation, August 2026 - slide 21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ic:nvPicPr>
                  <pic:blipFill>
                    <a:blip r:embed="rId32"/>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22" name="Slide 22" descr="NN, Inc. Investor Presentation, August 2026 - slide 22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pic:nvPicPr>
                  <pic:blipFill>
                    <a:blip r:embed="rId33"/>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23" name="Slide 23" descr="NN, Inc. Investor Presentation, August 2026 - slide 23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pic:nvPicPr>
                  <pic:blipFill>
                    <a:blip r:embed="rId34"/>
                    <a:stretch>
                      <a:fillRect/>
                    </a:stretch>
                  </pic:blipFill>
                  <pic:spPr>
                    <a:xfrm>
                      <a:off x="0" y="0"/>
                      <a:ext cx="9144000" cy="5143500"/>
                    </a:xfrm>
                    <a:prstGeom prst="rect">
                      <a:avLst/>
                    </a:prstGeom>
                  </pic:spPr>
                </pic:pic>
              </a:graphicData>
            </a:graphic>
          </wp:inline>
        </w:drawing>
      </w:r>
    </w:p>
    <w:p>
      <w:pPr>
        <w:pageBreakBefore/>
        <w:spacing w:before="0" w:after="0" w:line="240" w:lineRule="auto"/>
        <w:jc w:val="center"/>
      </w:pPr>
      <w:r>
        <w:drawing>
          <wp:inline distT="0" distB="0" distL="0" distR="0">
            <wp:extent cx="9144000" cy="5143500"/>
            <wp:effectExtent l="0" t="0" r="0" b="0"/>
            <wp:docPr id="124" name="Slide 24" descr="NN, Inc. Investor Presentation, August 2026 - slide 24 o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pic:nvPicPr>
                  <pic:blipFill>
                    <a:blip r:embed="rId35"/>
                    <a:stretch>
                      <a:fillRect/>
                    </a:stretch>
                  </pic:blipFill>
                  <pic:spPr>
                    <a:xfrm>
                      <a:off x="0" y="0"/>
                      <a:ext cx="9144000" cy="5143500"/>
                    </a:xfrm>
                    <a:prstGeom prst="rect">
                      <a:avLst/>
                    </a:prstGeom>
                  </pic:spPr>
                </pic:pic>
              </a:graphicData>
            </a:graphic>
          </wp:inline>
        </w:drawing>
      </w:r>
    </w:p>
    <w:sectPr>
      <w:type w:val="nextPage"/>
      <w:pgSz w:w="15840" w:h="12240" w:orient="landscape"/>
      <w:pgMar w:top="2070" w:right="720" w:bottom="1440" w:left="72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center" w:pos="4680"/>
        <w:tab w:val="right" w:pos="9360"/>
      </w:tabs>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40" w:lineRule="auto"/>
      <w:ind w:left="0" w:right="0" w:firstLine="0"/>
      <w:jc w:val="left"/>
      <w:outlineLvl w:val="9"/>
      <w:rPr>
        <w:rFonts w:ascii="Times New Roman" w:eastAsia="Times New Roman" w:hAnsi="Times New Roman" w:cs="Times New Roman"/>
        <w:b w:val="0"/>
        <w:i w:val="0"/>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round">
    <w:name w:val="bullet.round"/>
    <w:pPr>
      <w:numPr>
        <w:numId w:val="1"/>
      </w:numPr>
    </w:pPr>
  </w:style>
  <w:style w:type="numbering" w:customStyle="1" w:styleId="listarabic">
    <w:name w:val="list.arabic"/>
    <w:pPr>
      <w:numPr>
        <w:numId w:val="2"/>
      </w:numPr>
    </w:pPr>
  </w:style>
  <w:style w:type="numbering" w:customStyle="1" w:styleId="outlinearabic">
    <w:name w:val="outline.arabic"/>
    <w:pPr>
      <w:numPr>
        <w:numId w:val="3"/>
      </w:numPr>
    </w:pPr>
  </w:style>
  <w:style w:type="paragraph" w:customStyle="1" w:styleId="Normal-wk">
    <w:name w:val="Normal-wk"/>
    <w:qFormat/>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4"/>
    </w:rPr>
  </w:style>
  <w:style w:type="paragraph" w:styleId="Footer">
    <w:name w:val="footer"/>
    <w:basedOn w:val="Normal"/>
    <w:link w:val="FooterChar"/>
    <w:uiPriority w:val="99"/>
    <w:rsid w:val="000F3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DF7"/>
  </w:style>
  <w:style w:type="paragraph" w:customStyle="1" w:styleId="Footer-wk">
    <w:name w:val="Footer-wk"/>
    <w:qFormat/>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4"/>
    </w:rPr>
  </w:style>
  <w:style w:type="paragraph" w:customStyle="1" w:styleId="MacPacTrailer">
    <w:name w:val="MacPac Trailer"/>
    <w:qFormat/>
    <w:pPr>
      <w:keepNext w:val="0"/>
      <w:keepLines w:val="0"/>
      <w:spacing w:before="0" w:after="0" w:line="341" w:lineRule="auto"/>
      <w:ind w:left="0" w:firstLine="0"/>
      <w:jc w:val="left"/>
    </w:pPr>
    <w:rPr>
      <w:rFonts w:ascii="Arial" w:eastAsia="Arial" w:hAnsi="Arial" w:cs="Arial"/>
      <w:b w:val="0"/>
      <w:i w:val="0"/>
      <w:color w:val="000000"/>
      <w:spacing w:val="0"/>
      <w:sz w:val="14"/>
    </w:rPr>
  </w:style>
  <w:style w:type="table" w:customStyle="1" w:styleId="TableNormal-W">
    <w:name w:val="Table Normal-W"/>
    <w:pPr>
      <w:keepNext w:val="0"/>
      <w:keepLines w:val="0"/>
      <w:spacing w:before="0" w:after="0" w:line="240" w:lineRule="auto"/>
      <w:ind w:left="0" w:firstLine="0"/>
      <w:jc w:val="left"/>
    </w:pPr>
    <w:rPr>
      <w:rFonts w:ascii="Times New Roman" w:eastAsia="Times New Roman" w:hAnsi="Times New Roman" w:cs="Times New Roman"/>
      <w:b w:val="0"/>
      <w:i w:val="0"/>
      <w:color w:val="000000"/>
      <w:spacing w:val="0"/>
      <w:sz w:val="20"/>
    </w:rPr>
    <w:tblPr/>
  </w:style>
  <w:style w:type="character" w:styleId="LineNumber">
    <w:name w:val="line number"/>
    <w:basedOn w:val="DefaultParagraphFont"/>
    <w:uiPriority w:val="99"/>
    <w:rsid w:val="0041372D"/>
    <w:rPr>
      <w:rFonts w:ascii="Times New Roman" w:eastAsia="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yperlink" Target="nnincinvestorpresentatio.htm" TargetMode="External" /><Relationship Id="rId9" Type="http://schemas.openxmlformats.org/officeDocument/2006/relationships/theme" Target="theme/theme1.xm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image" Target="media/image19.png"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image" Target="media/image24.png" /><Relationship Id="rId35" Type="http://schemas.openxmlformats.org/officeDocument/2006/relationships/image" Target="media/image2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 Form 8-K 2026-08-19 Investor NDR</dc:title>
  <cp:revision>1</cp:revision>
</cp:coreProperties>
</file>