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1380" w:type="dxa"/>
        <w:tblCellMar>
          <w:top w:w="0" w:type="dxa"/>
          <w:left w:w="0" w:type="dxa"/>
          <w:bottom w:w="0" w:type="dxa"/>
          <w:right w:w="0" w:type="dxa"/>
        </w:tblCellMar>
      </w:tblPr>
      <w:tr>
        <w:trPr>
          <w:trHeight w:val="220"/>
        </w:trPr>
        <w:tc>
          <w:tcPr>
            <w:tcW w:w="6020" w:type="dxa"/>
            <w:vAlign w:val="bottom"/>
          </w:tcPr>
          <w:p>
            <w:pPr>
              <w:ind w:left="240"/>
              <w:spacing w:after="0"/>
              <w:rPr>
                <w:sz w:val="20"/>
                <w:szCs w:val="20"/>
                <w:color w:val="auto"/>
              </w:rPr>
            </w:pPr>
            <w:r>
              <w:rPr>
                <w:rFonts w:ascii="Arial" w:cs="Arial" w:eastAsia="Arial" w:hAnsi="Arial"/>
                <w:sz w:val="18"/>
                <w:szCs w:val="18"/>
                <w:b w:val="1"/>
                <w:bCs w:val="1"/>
                <w:color w:val="auto"/>
              </w:rPr>
              <w:t>NN, Inc.</w:t>
            </w:r>
          </w:p>
        </w:tc>
        <w:tc>
          <w:tcPr>
            <w:tcW w:w="4020" w:type="dxa"/>
            <w:vAlign w:val="bottom"/>
          </w:tcPr>
          <w:p>
            <w:pPr>
              <w:spacing w:after="0"/>
              <w:rPr>
                <w:sz w:val="19"/>
                <w:szCs w:val="19"/>
                <w:color w:val="auto"/>
              </w:rPr>
            </w:pPr>
          </w:p>
        </w:tc>
      </w:tr>
      <w:tr>
        <w:trPr>
          <w:trHeight w:val="244"/>
        </w:trPr>
        <w:tc>
          <w:tcPr>
            <w:tcW w:w="6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Corporate Office</w:t>
            </w:r>
          </w:p>
        </w:tc>
        <w:tc>
          <w:tcPr>
            <w:tcW w:w="402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www.nninc.com</w:t>
            </w:r>
          </w:p>
        </w:tc>
      </w:tr>
      <w:tr>
        <w:trPr>
          <w:trHeight w:val="195"/>
        </w:trPr>
        <w:tc>
          <w:tcPr>
            <w:tcW w:w="6020" w:type="dxa"/>
            <w:vAlign w:val="bottom"/>
          </w:tcPr>
          <w:p>
            <w:pPr>
              <w:ind w:left="240"/>
              <w:spacing w:after="0" w:line="195" w:lineRule="exact"/>
              <w:rPr>
                <w:sz w:val="20"/>
                <w:szCs w:val="20"/>
                <w:color w:val="auto"/>
              </w:rPr>
            </w:pPr>
            <w:r>
              <w:rPr>
                <w:rFonts w:ascii="Arial" w:cs="Arial" w:eastAsia="Arial" w:hAnsi="Arial"/>
                <w:sz w:val="18"/>
                <w:szCs w:val="18"/>
                <w:color w:val="auto"/>
              </w:rPr>
              <w:t>207 Mockingbird Lane • Johnson City, TN 37604</w:t>
            </w:r>
          </w:p>
        </w:tc>
        <w:tc>
          <w:tcPr>
            <w:tcW w:w="4020" w:type="dxa"/>
            <w:vAlign w:val="bottom"/>
          </w:tcPr>
          <w:p>
            <w:pPr>
              <w:spacing w:after="0"/>
              <w:rPr>
                <w:sz w:val="16"/>
                <w:szCs w:val="16"/>
                <w:color w:val="auto"/>
              </w:rPr>
            </w:pP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423-743-9151 • fax 423-743-2670</w:t>
            </w:r>
          </w:p>
        </w:tc>
        <w:tc>
          <w:tcPr>
            <w:tcW w:w="4020" w:type="dxa"/>
            <w:vAlign w:val="bottom"/>
          </w:tcPr>
          <w:p>
            <w:pPr>
              <w:spacing w:after="0"/>
              <w:rPr>
                <w:sz w:val="20"/>
                <w:szCs w:val="20"/>
                <w:color w:val="auto"/>
              </w:rPr>
            </w:pP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461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2,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You are cordially invited to attend the 2015 Annual Meeting of Stockholders of NN, Inc., which will be held on Thursday, May 14, 2015, at 10:00 a.m., local time, at the Fort Lauderdale Marriott Harbor Beach Resort located at 3030 Holiday Drive, Fort Lauderdale, Florida 33316.</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Stockholders will be asked to vote on the matters described in the enclosed Proxy Statement. You are urged to read the Proxy Statement carefully before voting.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You may vote on the matters brought before the Annual Meeting by: (i) completing and mailing the enclosed proxy card, (ii) telephone, (iii) Internet, or</w:t>
      </w:r>
    </w:p>
    <w:p>
      <w:pPr>
        <w:spacing w:after="0" w:line="35" w:lineRule="exact"/>
        <w:rPr>
          <w:sz w:val="20"/>
          <w:szCs w:val="20"/>
          <w:color w:val="auto"/>
        </w:rPr>
      </w:pPr>
    </w:p>
    <w:p>
      <w:pPr>
        <w:ind w:firstLine="8"/>
        <w:spacing w:after="0" w:line="261"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appearing in person and voting at the Annual Meeting. Voting instructions are printed on your proxy card. </w:t>
      </w:r>
      <w:r>
        <w:rPr>
          <w:rFonts w:ascii="Arial" w:cs="Arial" w:eastAsia="Arial" w:hAnsi="Arial"/>
          <w:sz w:val="18"/>
          <w:szCs w:val="18"/>
          <w:b w:val="1"/>
          <w:bCs w:val="1"/>
          <w:color w:val="auto"/>
        </w:rPr>
        <w:t>Your vote is important. We encourage you to</w:t>
      </w:r>
      <w:r>
        <w:rPr>
          <w:rFonts w:ascii="Arial" w:cs="Arial" w:eastAsia="Arial" w:hAnsi="Arial"/>
          <w:sz w:val="18"/>
          <w:szCs w:val="18"/>
          <w:color w:val="auto"/>
        </w:rPr>
        <w:t xml:space="preserve"> </w:t>
      </w:r>
      <w:r>
        <w:rPr>
          <w:rFonts w:ascii="Arial" w:cs="Arial" w:eastAsia="Arial" w:hAnsi="Arial"/>
          <w:sz w:val="18"/>
          <w:szCs w:val="18"/>
          <w:b w:val="1"/>
          <w:bCs w:val="1"/>
          <w:color w:val="auto"/>
        </w:rPr>
        <w:t>vote by proxy, even if you plan to attend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45796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9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24" w:right="239" w:bottom="1440" w:gutter="0" w:footer="0" w:header="0"/>
        </w:sectPr>
      </w:pPr>
    </w:p>
    <w:bookmarkStart w:id="3" w:name="page4"/>
    <w:bookmarkEnd w:id="3"/>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4612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207 Mockingbird Lane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Johnson City, Tennessee 37604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STOCKHOLDERS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Notice is hereby given that the Annual Meeting of Stockholders of NN, Inc., a Delaware corporation, will be held on Thursday, May 14, 2015, at 10:00 a.m., local time, at the Fort Lauderdale Marriott Harbor Beach Resort located at 3030 Holiday Drive, Fort Lauderdale, Florida 33316. At the meeting, our stockholders will be asked to:</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three Class II directors to serve for a term of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Cast an advisory vote to approve the executive compensation of our named executive officers;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Cast an advisory vote to ratify the selection of PricewaterhouseCoopers LLP as the Company’s registered independent public accounting firm for the fiscal year ending December 31, 2015;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on any other business as properly may come before the Annual Meeting.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Board recommends a vote “FOR” Items 1, 2 and 3 and for any business that may properly come before the Annual Meeting, pursuant to the discretion of the appointed proxies. Details regarding each of these matters are contained in the accompanying Proxy Statement.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record date for the Annual Meeting is March 20, 2015. If you hold shares of NN common stock at the close of business on March 20, 2015, you are entitled to vote at the Annual Meeting.</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YOUR VOTE IS VERY IMPORTANT. REGARDLESS OF WHETHER YOU PLAN TO ATTEND THE MEETING, PLEASE PROMPTLY VOTE BY TELEPHONE, BY INTERNET, OR COMPLETE, DATE AND SIGN THE ENCLOSED PROXY CARD AND RETURN IT IN THE ENVELOPE PROVIDED. YOU MAY REVOKE YOUR PROXY AT ANY TIME BEFORE IT IS VOTED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500505"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05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2015</w:t>
      </w:r>
    </w:p>
    <w:p>
      <w:pPr>
        <w:sectPr>
          <w:pgSz w:w="11900" w:h="16838" w:orient="portrait"/>
          <w:cols w:equalWidth="0" w:num="1">
            <w:col w:w="11380"/>
          </w:cols>
          <w:pgMar w:left="240" w:top="1440" w:right="279" w:bottom="1440" w:gutter="0" w:footer="0" w:header="0"/>
        </w:sectPr>
      </w:pPr>
    </w:p>
    <w:bookmarkStart w:id="4" w:name="page5"/>
    <w:bookmarkEnd w:id="4"/>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461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PROXY SUMMARY</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the Company’s 2014 performance, please review the Company’s Annual Report on Form 10-K for the year ended December 31,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Annual Meeting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and Date</w:t>
      </w:r>
      <w:r>
        <w:rPr>
          <w:rFonts w:ascii="Arial" w:cs="Arial" w:eastAsia="Arial" w:hAnsi="Arial"/>
          <w:sz w:val="18"/>
          <w:szCs w:val="18"/>
          <w:color w:val="auto"/>
        </w:rPr>
        <w:t>: 10:00 a.m., local time on Thursday, May 14,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Location</w:t>
      </w:r>
      <w:r>
        <w:rPr>
          <w:rFonts w:ascii="Arial" w:cs="Arial" w:eastAsia="Arial" w:hAnsi="Arial"/>
          <w:sz w:val="18"/>
          <w:szCs w:val="18"/>
          <w:color w:val="auto"/>
        </w:rPr>
        <w:t>: Fort Lauderdale Marriott Harbor Beach Resort, 3030 Holiday Drive, Fort Lauderdale, Florida 33316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Record Date</w:t>
      </w:r>
      <w:r>
        <w:rPr>
          <w:rFonts w:ascii="Arial" w:cs="Arial" w:eastAsia="Arial" w:hAnsi="Arial"/>
          <w:sz w:val="18"/>
          <w:szCs w:val="18"/>
          <w:color w:val="auto"/>
        </w:rPr>
        <w:t>: March 20, 2015</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Stockholders as of the record date are entitled to vote. Each share of common stock is entitled to one vote for each director nominee and one vote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other proposal to be voted on. On the record date, there were 19,050,749 shares of common stock issued and outstanding and entitled to vote at the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encourage you to vote by proxy, even if you plan to attend the Annual Meeting. It is very important that you vote in order to play a part in the future of the Company. You can vote using one of the following methods:</w:t>
      </w:r>
    </w:p>
    <w:p>
      <w:pPr>
        <w:spacing w:after="0" w:line="7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i w:val="1"/>
          <w:iCs w:val="1"/>
          <w:color w:val="auto"/>
        </w:rPr>
        <w:t>www.proxyvote.com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 for Annual Meeting</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Proposal</w:t>
            </w:r>
          </w:p>
        </w:tc>
        <w:tc>
          <w:tcPr>
            <w:tcW w:w="460" w:type="dxa"/>
            <w:vAlign w:val="bottom"/>
          </w:tcPr>
          <w:p>
            <w:pPr>
              <w:spacing w:after="0"/>
              <w:rPr>
                <w:sz w:val="14"/>
                <w:szCs w:val="14"/>
                <w:color w:val="auto"/>
              </w:rPr>
            </w:pPr>
          </w:p>
        </w:tc>
        <w:tc>
          <w:tcPr>
            <w:tcW w:w="5220" w:type="dxa"/>
            <w:vAlign w:val="bottom"/>
            <w:gridSpan w:val="3"/>
          </w:tcPr>
          <w:p>
            <w:pPr>
              <w:ind w:left="340"/>
              <w:spacing w:after="0"/>
              <w:rPr>
                <w:sz w:val="20"/>
                <w:szCs w:val="20"/>
                <w:color w:val="auto"/>
              </w:rPr>
            </w:pPr>
            <w:r>
              <w:rPr>
                <w:rFonts w:ascii="Arial" w:cs="Arial" w:eastAsia="Arial" w:hAnsi="Arial"/>
                <w:sz w:val="14"/>
                <w:szCs w:val="14"/>
                <w:b w:val="1"/>
                <w:bCs w:val="1"/>
                <w:color w:val="auto"/>
              </w:rPr>
              <w:t>Proposal Description</w:t>
            </w: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8"/>
        </w:trPr>
        <w:tc>
          <w:tcPr>
            <w:tcW w:w="11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Proposal I</w:t>
            </w:r>
          </w:p>
        </w:tc>
        <w:tc>
          <w:tcPr>
            <w:tcW w:w="5220" w:type="dxa"/>
            <w:vAlign w:val="bottom"/>
            <w:gridSpan w:val="3"/>
          </w:tcPr>
          <w:p>
            <w:pPr>
              <w:ind w:left="340"/>
              <w:spacing w:after="0"/>
              <w:rPr>
                <w:sz w:val="20"/>
                <w:szCs w:val="20"/>
                <w:color w:val="auto"/>
              </w:rPr>
            </w:pPr>
            <w:r>
              <w:rPr>
                <w:rFonts w:ascii="Arial" w:cs="Arial" w:eastAsia="Arial" w:hAnsi="Arial"/>
                <w:sz w:val="18"/>
                <w:szCs w:val="18"/>
                <w:color w:val="auto"/>
                <w:w w:val="90"/>
              </w:rPr>
              <w:t>Election of three Class II directors to serve for a term of three years</w:t>
            </w:r>
          </w:p>
        </w:tc>
      </w:tr>
      <w:tr>
        <w:trPr>
          <w:trHeight w:val="310"/>
        </w:trPr>
        <w:tc>
          <w:tcPr>
            <w:tcW w:w="114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Proposal II</w:t>
            </w:r>
          </w:p>
        </w:tc>
        <w:tc>
          <w:tcPr>
            <w:tcW w:w="5220" w:type="dxa"/>
            <w:vAlign w:val="bottom"/>
            <w:gridSpan w:val="3"/>
          </w:tcPr>
          <w:p>
            <w:pPr>
              <w:ind w:left="340"/>
              <w:spacing w:after="0"/>
              <w:rPr>
                <w:sz w:val="20"/>
                <w:szCs w:val="20"/>
                <w:color w:val="auto"/>
              </w:rPr>
            </w:pPr>
            <w:r>
              <w:rPr>
                <w:rFonts w:ascii="Arial" w:cs="Arial" w:eastAsia="Arial" w:hAnsi="Arial"/>
                <w:sz w:val="18"/>
                <w:szCs w:val="18"/>
                <w:color w:val="auto"/>
                <w:w w:val="90"/>
              </w:rPr>
              <w:t>Advisory vote to approve the executive compensation of our named</w:t>
            </w:r>
          </w:p>
        </w:tc>
      </w:tr>
      <w:tr>
        <w:trPr>
          <w:trHeight w:val="230"/>
        </w:trPr>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20" w:type="dxa"/>
            <w:vAlign w:val="bottom"/>
            <w:gridSpan w:val="3"/>
          </w:tcPr>
          <w:p>
            <w:pPr>
              <w:ind w:left="340"/>
              <w:spacing w:after="0"/>
              <w:rPr>
                <w:sz w:val="20"/>
                <w:szCs w:val="20"/>
                <w:color w:val="auto"/>
              </w:rPr>
            </w:pPr>
            <w:r>
              <w:rPr>
                <w:rFonts w:ascii="Arial" w:cs="Arial" w:eastAsia="Arial" w:hAnsi="Arial"/>
                <w:sz w:val="18"/>
                <w:szCs w:val="18"/>
                <w:color w:val="auto"/>
              </w:rPr>
              <w:t>executive officers</w:t>
            </w: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380"/>
        <w:spacing w:after="0"/>
        <w:rPr>
          <w:sz w:val="20"/>
          <w:szCs w:val="20"/>
          <w:color w:val="auto"/>
        </w:rPr>
      </w:pPr>
      <w:r>
        <w:rPr>
          <w:rFonts w:ascii="Arial" w:cs="Arial" w:eastAsia="Arial" w:hAnsi="Arial"/>
          <w:sz w:val="14"/>
          <w:szCs w:val="14"/>
          <w:b w:val="1"/>
          <w:bCs w:val="1"/>
          <w:color w:val="auto"/>
        </w:rPr>
        <w:t>Voting</w:t>
      </w:r>
    </w:p>
    <w:p>
      <w:pPr>
        <w:spacing w:after="0" w:line="4" w:lineRule="exact"/>
        <w:rPr>
          <w:sz w:val="20"/>
          <w:szCs w:val="20"/>
          <w:color w:val="auto"/>
        </w:rPr>
      </w:pPr>
    </w:p>
    <w:p>
      <w:pPr>
        <w:jc w:val="center"/>
        <w:ind w:right="1380"/>
        <w:spacing w:after="0"/>
        <w:rPr>
          <w:sz w:val="20"/>
          <w:szCs w:val="20"/>
          <w:color w:val="auto"/>
        </w:rPr>
      </w:pPr>
      <w:r>
        <w:rPr>
          <w:rFonts w:ascii="Arial" w:cs="Arial" w:eastAsia="Arial" w:hAnsi="Arial"/>
          <w:sz w:val="12"/>
          <w:szCs w:val="12"/>
          <w:b w:val="1"/>
          <w:bCs w:val="1"/>
          <w:u w:val="single" w:color="auto"/>
          <w:color w:val="auto"/>
        </w:rPr>
        <w:t>Recommendation</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w:t>
      </w:r>
    </w:p>
    <w:p>
      <w:pPr>
        <w:spacing w:after="0" w:line="333" w:lineRule="exact"/>
        <w:rPr>
          <w:sz w:val="20"/>
          <w:szCs w:val="20"/>
          <w:color w:val="auto"/>
        </w:rPr>
      </w:pPr>
    </w:p>
    <w:p>
      <w:pPr>
        <w:sectPr>
          <w:pgSz w:w="11900" w:h="16838" w:orient="portrait"/>
          <w:cols w:equalWidth="0" w:num="2">
            <w:col w:w="8240" w:space="720"/>
            <w:col w:w="2460"/>
          </w:cols>
          <w:pgMar w:left="240" w:top="1440" w:right="239" w:bottom="1440" w:gutter="0" w:footer="0" w:header="0"/>
          <w:type w:val="continuous"/>
        </w:sectPr>
      </w:pPr>
    </w:p>
    <w:p>
      <w:pPr>
        <w:ind w:left="1420"/>
        <w:spacing w:after="0"/>
        <w:tabs>
          <w:tab w:leader="none" w:pos="2900" w:val="left"/>
          <w:tab w:leader="none" w:pos="9320" w:val="left"/>
        </w:tabs>
        <w:rPr>
          <w:sz w:val="20"/>
          <w:szCs w:val="20"/>
          <w:color w:val="auto"/>
        </w:rPr>
      </w:pPr>
      <w:r>
        <w:rPr>
          <w:rFonts w:ascii="Arial" w:cs="Arial" w:eastAsia="Arial" w:hAnsi="Arial"/>
          <w:sz w:val="18"/>
          <w:szCs w:val="18"/>
          <w:color w:val="auto"/>
        </w:rPr>
        <w:t>Proposal III</w:t>
      </w:r>
      <w:r>
        <w:rPr>
          <w:sz w:val="20"/>
          <w:szCs w:val="20"/>
          <w:color w:val="auto"/>
        </w:rPr>
        <w:tab/>
      </w:r>
      <w:r>
        <w:rPr>
          <w:rFonts w:ascii="Arial" w:cs="Arial" w:eastAsia="Arial" w:hAnsi="Arial"/>
          <w:sz w:val="18"/>
          <w:szCs w:val="18"/>
          <w:color w:val="auto"/>
        </w:rPr>
        <w:t>Advisory vote to ratify the selection of PricewaterhouseCoopers LLP as</w:t>
      </w:r>
      <w:r>
        <w:rPr>
          <w:sz w:val="20"/>
          <w:szCs w:val="20"/>
          <w:color w:val="auto"/>
        </w:rPr>
        <w:tab/>
      </w:r>
      <w:r>
        <w:rPr>
          <w:rFonts w:ascii="Arial" w:cs="Arial" w:eastAsia="Arial" w:hAnsi="Arial"/>
          <w:sz w:val="16"/>
          <w:szCs w:val="16"/>
          <w:color w:val="auto"/>
        </w:rPr>
        <w:t>FOR</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the Company’s registered independent public accounting firm</w:t>
      </w:r>
    </w:p>
    <w:p>
      <w:pPr>
        <w:spacing w:after="0" w:line="207"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1420"/>
          </w:cols>
          <w:pgMar w:left="240" w:top="144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Nominees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summary information about each director nominee to be voted on at the Annual Meeting: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vMerge w:val="restart"/>
          </w:tcPr>
          <w:p>
            <w:pPr>
              <w:spacing w:after="0"/>
              <w:rPr>
                <w:sz w:val="14"/>
                <w:szCs w:val="14"/>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4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Positions with Company</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Committee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5"/>
              </w:rPr>
              <w:t>Since</w:t>
            </w:r>
          </w:p>
        </w:tc>
        <w:tc>
          <w:tcPr>
            <w:tcW w:w="4140" w:type="dxa"/>
            <w:vAlign w:val="bottom"/>
            <w:gridSpan w:val="2"/>
            <w:vMerge w:val="continue"/>
          </w:tcPr>
          <w:p>
            <w:pPr>
              <w:spacing w:after="0"/>
              <w:rPr>
                <w:sz w:val="15"/>
                <w:szCs w:val="15"/>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Memberships(1)</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E. Brunner</w:t>
            </w:r>
          </w:p>
        </w:tc>
        <w:tc>
          <w:tcPr>
            <w:tcW w:w="24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57</w:t>
            </w: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2012</w:t>
            </w:r>
          </w:p>
        </w:tc>
        <w:tc>
          <w:tcPr>
            <w:tcW w:w="28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Director - Nominee</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AC, GC</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Richard D. Holder</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52</w:t>
            </w:r>
          </w:p>
        </w:tc>
        <w:tc>
          <w:tcPr>
            <w:tcW w:w="2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80" w:type="dxa"/>
            <w:vAlign w:val="bottom"/>
          </w:tcPr>
          <w:p>
            <w:pPr>
              <w:spacing w:after="0"/>
              <w:rPr>
                <w:sz w:val="18"/>
                <w:szCs w:val="18"/>
                <w:color w:val="auto"/>
              </w:rPr>
            </w:pPr>
          </w:p>
        </w:tc>
        <w:tc>
          <w:tcPr>
            <w:tcW w:w="4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Director, President and Chief Executive Officer</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N/A</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Pugh</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8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Director - Nominee</w:t>
            </w: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AC, CC</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 </w:t>
      </w:r>
      <w:r>
        <w:rPr>
          <w:rFonts w:ascii="Arial" w:cs="Arial" w:eastAsia="Arial" w:hAnsi="Arial"/>
          <w:sz w:val="18"/>
          <w:szCs w:val="18"/>
          <w:color w:val="auto"/>
        </w:rPr>
        <w:t>- Audit Committee;</w:t>
      </w:r>
      <w:r>
        <w:rPr>
          <w:rFonts w:ascii="Arial" w:cs="Arial" w:eastAsia="Arial" w:hAnsi="Arial"/>
          <w:sz w:val="18"/>
          <w:szCs w:val="18"/>
          <w:b w:val="1"/>
          <w:bCs w:val="1"/>
          <w:i w:val="1"/>
          <w:iCs w:val="1"/>
          <w:color w:val="auto"/>
        </w:rPr>
        <w:t xml:space="preserve"> CC </w:t>
      </w:r>
      <w:r>
        <w:rPr>
          <w:rFonts w:ascii="Arial" w:cs="Arial" w:eastAsia="Arial" w:hAnsi="Arial"/>
          <w:sz w:val="18"/>
          <w:szCs w:val="18"/>
          <w:color w:val="auto"/>
        </w:rPr>
        <w:t>- Compensation Committee;</w:t>
      </w:r>
      <w:r>
        <w:rPr>
          <w:rFonts w:ascii="Arial" w:cs="Arial" w:eastAsia="Arial" w:hAnsi="Arial"/>
          <w:sz w:val="18"/>
          <w:szCs w:val="18"/>
          <w:b w:val="1"/>
          <w:bCs w:val="1"/>
          <w:i w:val="1"/>
          <w:iCs w:val="1"/>
          <w:color w:val="auto"/>
        </w:rPr>
        <w:t xml:space="preserve"> GC </w:t>
      </w:r>
      <w:r>
        <w:rPr>
          <w:rFonts w:ascii="Arial" w:cs="Arial" w:eastAsia="Arial" w:hAnsi="Arial"/>
          <w:sz w:val="18"/>
          <w:szCs w:val="18"/>
          <w:color w:val="auto"/>
        </w:rPr>
        <w:t>- Governance Committee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Summary</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Company is committed to good corporate governance, which promotes the long-term interests of stockholders, strengthens Board and management accountability and helps build public trust in the Company. Highlights of our corporate governance policies and practices include:</w:t>
      </w:r>
    </w:p>
    <w:p>
      <w:pPr>
        <w:spacing w:after="0" w:line="5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independent directors, except for our Chief Executive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presiding Chairman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Standing Committees consist entirely of independent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oversight by full Board and Committees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compensation driven by pay-for-performance philosophy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Two new directors </w:t>
      </w:r>
      <w:r>
        <w:rPr>
          <w:rFonts w:ascii="Arial" w:cs="Arial" w:eastAsia="Arial" w:hAnsi="Arial"/>
          <w:sz w:val="18"/>
          <w:szCs w:val="18"/>
          <w:b w:val="1"/>
          <w:bCs w:val="1"/>
          <w:i w:val="1"/>
          <w:iCs w:val="1"/>
          <w:color w:val="auto"/>
        </w:rPr>
        <w:t>New for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Majority voting for uncontested director elections </w:t>
      </w:r>
      <w:r>
        <w:rPr>
          <w:rFonts w:ascii="Arial" w:cs="Arial" w:eastAsia="Arial" w:hAnsi="Arial"/>
          <w:sz w:val="18"/>
          <w:szCs w:val="18"/>
          <w:b w:val="1"/>
          <w:bCs w:val="1"/>
          <w:i w:val="1"/>
          <w:iCs w:val="1"/>
          <w:color w:val="auto"/>
        </w:rPr>
        <w:t>New for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Limits on directors’ service on other public company boards and audit committees </w:t>
      </w:r>
      <w:r>
        <w:rPr>
          <w:rFonts w:ascii="Arial" w:cs="Arial" w:eastAsia="Arial" w:hAnsi="Arial"/>
          <w:sz w:val="18"/>
          <w:szCs w:val="18"/>
          <w:b w:val="1"/>
          <w:bCs w:val="1"/>
          <w:i w:val="1"/>
          <w:iCs w:val="1"/>
          <w:color w:val="auto"/>
        </w:rPr>
        <w:t>New for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Executive clawback policy </w:t>
      </w:r>
      <w:r>
        <w:rPr>
          <w:rFonts w:ascii="Arial" w:cs="Arial" w:eastAsia="Arial" w:hAnsi="Arial"/>
          <w:sz w:val="18"/>
          <w:szCs w:val="18"/>
          <w:b w:val="1"/>
          <w:bCs w:val="1"/>
          <w:i w:val="1"/>
          <w:iCs w:val="1"/>
          <w:color w:val="auto"/>
        </w:rPr>
        <w:t>New for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Director and executive stock ownership guidelines </w:t>
      </w:r>
      <w:r>
        <w:rPr>
          <w:rFonts w:ascii="Arial" w:cs="Arial" w:eastAsia="Arial" w:hAnsi="Arial"/>
          <w:sz w:val="18"/>
          <w:szCs w:val="18"/>
          <w:b w:val="1"/>
          <w:bCs w:val="1"/>
          <w:i w:val="1"/>
          <w:iCs w:val="1"/>
          <w:color w:val="auto"/>
        </w:rPr>
        <w:t>New for 2015</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Engagement of compensation consultant, Towers Watson, to support the Company’s efforts of further aligning executive compensation with stockholder interests </w:t>
      </w:r>
      <w:r>
        <w:rPr>
          <w:rFonts w:ascii="Arial" w:cs="Arial" w:eastAsia="Arial" w:hAnsi="Arial"/>
          <w:sz w:val="18"/>
          <w:szCs w:val="18"/>
          <w:b w:val="1"/>
          <w:bCs w:val="1"/>
          <w:i w:val="1"/>
          <w:iCs w:val="1"/>
          <w:color w:val="auto"/>
        </w:rPr>
        <w:t>New for 2015</w:t>
      </w:r>
    </w:p>
    <w:p>
      <w:pPr>
        <w:sectPr>
          <w:pgSz w:w="11900" w:h="16838" w:orient="portrait"/>
          <w:cols w:equalWidth="0" w:num="1">
            <w:col w:w="11420"/>
          </w:cols>
          <w:pgMar w:left="240" w:top="27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46125"/>
                    </a:xfrm>
                    <a:prstGeom prst="rect">
                      <a:avLst/>
                    </a:prstGeom>
                    <a:noFill/>
                  </pic:spPr>
                </pic:pic>
              </a:graphicData>
            </a:graphic>
          </wp:anchor>
        </w:drawing>
        <w:t>PROXY STATEMENT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Proxies are being solicited by the board of directors, or the “Board,” of NN, Inc. in connection with the 2015 Annual Meeting of Stockholders of NN, Inc., or the “Annual Meeting.” Your vote is very important. For this reason, our Board is requesting that you allow your shares to be represented at the Annual Meeting by the proxies named on the enclosed proxy card. In connection with our solicitation of proxies, we are mailing this Proxy Statement, the enclosed proxy card and our 2014 Annual Report on Form 10-K to all stockholders beginning on or about April 2, 2015.</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In this Proxy Statement, terms such as “NN,” the “Company,” “we,” “us” and “our” refer to NN, Inc. The mailing address of the Company’s executive office is 207 Mockingbird Lane, Johnson City, Tennessee 37604. Our website is </w:t>
      </w:r>
      <w:r>
        <w:rPr>
          <w:rFonts w:ascii="Arial" w:cs="Arial" w:eastAsia="Arial" w:hAnsi="Arial"/>
          <w:sz w:val="18"/>
          <w:szCs w:val="18"/>
          <w:i w:val="1"/>
          <w:iCs w:val="1"/>
          <w:color w:val="auto"/>
        </w:rPr>
        <w:t>www.nninc.com</w:t>
      </w:r>
      <w:r>
        <w:rPr>
          <w:rFonts w:ascii="Arial" w:cs="Arial" w:eastAsia="Arial" w:hAnsi="Arial"/>
          <w:sz w:val="18"/>
          <w:szCs w:val="18"/>
          <w:color w:val="auto"/>
        </w:rPr>
        <w:t>. Information from our website is not incorporated by reference into any portion of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Date, Time and Location</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Annual Meeting will be held on Thursday, May 14, 2015 at 10:00 a.m., local time, at the Fort Lauderdale Marriott Harbor Beach Resort located at 3030 Holiday Drive, Fort Lauderdale, Florida 33316.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Stockholders of record of the Company’s common stock, par value $0.01 per share, as of the close of business on March 20, 2015, will be entitled to vote at the Annual Meeting. On March 20, 2015, the “Record Date,” 19,050,749 shares of common stock were issued and outstanding.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of stockholders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8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i w:val="1"/>
          <w:iCs w:val="1"/>
          <w:color w:val="auto"/>
        </w:rPr>
        <w:t>www.proxyvote.com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ectPr>
          <w:pgSz w:w="11900" w:h="16838" w:orient="portrait"/>
          <w:cols w:equalWidth="0" w:num="1">
            <w:col w:w="11400"/>
          </w:cols>
          <w:pgMar w:left="240" w:top="140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for Stockholders of Record</w:t>
      </w:r>
    </w:p>
    <w:p>
      <w:pPr>
        <w:spacing w:after="0" w:line="12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If on the Record Date your shares were registered directly in your name with our transfer agent, then you are a shareholder of record. As a shareholder of record, you may vote in person at the Annual Meeting or vote by proxy. Whether or not you plan to attend the Annual Meeting, we urge you to fill out and return the enclosed proxy card, or vote by proxy over the telephone or on the Internet as instructed below, to ensure your vote is counted.</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If you vote by proxy and your proxy card is incomplete or if you do not provide instructions with respect to any of the proposals, the appointed proxy will vote “FOR” Proposal I </w:t>
      </w:r>
      <w:r>
        <w:rPr>
          <w:rFonts w:ascii="Arial" w:cs="Arial" w:eastAsia="Arial" w:hAnsi="Arial"/>
          <w:sz w:val="18"/>
          <w:szCs w:val="18"/>
          <w:i w:val="1"/>
          <w:iCs w:val="1"/>
          <w:color w:val="auto"/>
        </w:rPr>
        <w:t>(Election of Directors)</w:t>
      </w:r>
      <w:r>
        <w:rPr>
          <w:rFonts w:ascii="Arial" w:cs="Arial" w:eastAsia="Arial" w:hAnsi="Arial"/>
          <w:sz w:val="18"/>
          <w:szCs w:val="18"/>
          <w:color w:val="auto"/>
        </w:rPr>
        <w:t xml:space="preserve">, Proposal II </w:t>
      </w:r>
      <w:r>
        <w:rPr>
          <w:rFonts w:ascii="Arial" w:cs="Arial" w:eastAsia="Arial" w:hAnsi="Arial"/>
          <w:sz w:val="18"/>
          <w:szCs w:val="18"/>
          <w:i w:val="1"/>
          <w:iCs w:val="1"/>
          <w:color w:val="auto"/>
        </w:rPr>
        <w:t>(Advisory Vote to Approve Executive Compensation)</w:t>
      </w:r>
      <w:r>
        <w:rPr>
          <w:rFonts w:ascii="Arial" w:cs="Arial" w:eastAsia="Arial" w:hAnsi="Arial"/>
          <w:sz w:val="18"/>
          <w:szCs w:val="18"/>
          <w:color w:val="auto"/>
        </w:rPr>
        <w:t xml:space="preserve"> and Proposal III </w:t>
      </w:r>
      <w:r>
        <w:rPr>
          <w:rFonts w:ascii="Arial" w:cs="Arial" w:eastAsia="Arial" w:hAnsi="Arial"/>
          <w:sz w:val="18"/>
          <w:szCs w:val="18"/>
          <w:i w:val="1"/>
          <w:iCs w:val="1"/>
          <w:color w:val="auto"/>
        </w:rPr>
        <w:t>(Ratification of Selection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Registered Independent Public Accounting Firm), </w:t>
      </w:r>
      <w:r>
        <w:rPr>
          <w:rFonts w:ascii="Arial" w:cs="Arial" w:eastAsia="Arial" w:hAnsi="Arial"/>
          <w:sz w:val="18"/>
          <w:szCs w:val="18"/>
          <w:color w:val="auto"/>
        </w:rPr>
        <w:t>and pursuant to its discretion for any other business properly brought before the meeting. If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 is unclear as to how you intended to vote (e.g., multiple selections are made for one proposal), your proxy will be voted pursuant to the discretion of the appointed proxy.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Beneficial Owners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holding your account is considered the shareholder of record for purposes of voting at the Annual Meeting. As a beneficial owner, you have the right to direct your broker or other agent on how to vote the shares in your account. You are also invited to attend the Annual Meeting. However, since you are not the shareholder of record, you may not vote your shares in person at the Annual Meeting unless you request and obtain a valid proxy from your broker or other agent. If you plan to attend the Annual Meeting, you will need to bring a valid proxy from the organization holding your account if you intend to vote your shares at the Annual Meeting.</w:t>
      </w:r>
    </w:p>
    <w:p>
      <w:pPr>
        <w:spacing w:after="0" w:line="16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holding your account, but do not provide voting instructions, that organization will be able to vote your shares on Proposal III </w:t>
      </w:r>
      <w:r>
        <w:rPr>
          <w:rFonts w:ascii="Arial" w:cs="Arial" w:eastAsia="Arial" w:hAnsi="Arial"/>
          <w:sz w:val="17"/>
          <w:szCs w:val="17"/>
          <w:i w:val="1"/>
          <w:iCs w:val="1"/>
          <w:color w:val="auto"/>
        </w:rPr>
        <w:t>(Ratification of Selection of Registered Independent Public Accounting Firm)</w:t>
      </w:r>
      <w:r>
        <w:rPr>
          <w:rFonts w:ascii="Arial" w:cs="Arial" w:eastAsia="Arial" w:hAnsi="Arial"/>
          <w:sz w:val="17"/>
          <w:szCs w:val="17"/>
          <w:color w:val="auto"/>
        </w:rPr>
        <w:t xml:space="preserve">; however, that organization will not be permitted to vote your shares on Proposal I </w:t>
      </w:r>
      <w:r>
        <w:rPr>
          <w:rFonts w:ascii="Arial" w:cs="Arial" w:eastAsia="Arial" w:hAnsi="Arial"/>
          <w:sz w:val="17"/>
          <w:szCs w:val="17"/>
          <w:i w:val="1"/>
          <w:iCs w:val="1"/>
          <w:color w:val="auto"/>
        </w:rPr>
        <w:t>(Election of Directors)</w:t>
      </w:r>
      <w:r>
        <w:rPr>
          <w:rFonts w:ascii="Arial" w:cs="Arial" w:eastAsia="Arial" w:hAnsi="Arial"/>
          <w:sz w:val="17"/>
          <w:szCs w:val="17"/>
          <w:color w:val="auto"/>
        </w:rPr>
        <w:t xml:space="preserve"> and Proposal II </w:t>
      </w:r>
      <w:r>
        <w:rPr>
          <w:rFonts w:ascii="Arial" w:cs="Arial" w:eastAsia="Arial" w:hAnsi="Arial"/>
          <w:sz w:val="17"/>
          <w:szCs w:val="17"/>
          <w:i w:val="1"/>
          <w:iCs w:val="1"/>
          <w:color w:val="auto"/>
        </w:rPr>
        <w:t>(Advisory Vote to Approve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 a result, if you do not provide voting instructions to the organization holding your account, your shares will have no effect on the outcome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election of directors, or the advisory vote on the executive compensation of our named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The Company’s Inspector of Elections will tabulate the votes and determine whether a quorum is present.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Process and Majority Voting Standard</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bylaws provide that the number of directors will be determined by the Board, which has set the number at eight.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8" w:name="page9"/>
    <w:bookmarkEnd w:id="8"/>
    <w:p>
      <w:pPr>
        <w:ind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2014, the Company amended its bylaws to provide for a majority voting standard in uncontested elections. This means that in an election of directors where the number of nominees does not exceed the number of directors to be elected, each director must receive more votes cast “For” the nominee than votes cast “Against” the nominee to be elected. If a director is not elected, he or she has agreed that a letter of resignation will be submitted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90 days of the certification of the election results. The director who tenders his or her resignation will not participate in the decisions of the Governance Committee or the Board that concern the resignation.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Soliciting Proxies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will be reimbursed by the Company for any expenses that they incur.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named in this Proxy Statement, for the advisory resolution to approve executive compensation, and for ratification of the selection of PricewaterhouseCoopers LLP to serve as the Company’s registered independent public accounting firm for 2015.</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you are an authorized officer, partner or other agent voting shares on behalf of a corporation, limited liability company, partnership or other legal entity, you should sign the accompanying proxy card in the entity name and indicate your name and title. If you are an agent, attorney, guardian or trustee submitting a proxy card on behalf of a registered stockholder, you should also indicate your title with your signature. If you own stock with multiple parties, each party should sign the proxy card. If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submit another properly completed proxy bearing a later date;</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NN, Inc., Attention: Secretary, 207 Mockingbird Lane, Johnson City, Tennessee 37604; or</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attend the Annual Meeting and notify the election officials at the meeting that you wish to revoke your proxy and vote in person. Attending the meeting will not, by itself, revoke your proxy.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If your shares are held by a brokerage firm, bank, dealer or similar organization, you should follow the instructions provided by that organization.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The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Votes Required</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Proposal I: </w:t>
      </w:r>
      <w:r>
        <w:rPr>
          <w:rFonts w:ascii="Arial" w:cs="Arial" w:eastAsia="Arial" w:hAnsi="Arial"/>
          <w:sz w:val="18"/>
          <w:szCs w:val="18"/>
          <w:i w:val="1"/>
          <w:iCs w:val="1"/>
          <w:color w:val="auto"/>
        </w:rPr>
        <w:t>Election of Directors.</w:t>
      </w:r>
      <w:r>
        <w:rPr>
          <w:rFonts w:ascii="Arial" w:cs="Arial" w:eastAsia="Arial" w:hAnsi="Arial"/>
          <w:sz w:val="18"/>
          <w:szCs w:val="18"/>
          <w:color w:val="auto"/>
        </w:rPr>
        <w:t xml:space="preserve"> Directors are elected by a majority of the votes cast in person or by proxy. This means that the number of votes cast “For” the nominee must exceed the votes cast “Against” the nominee. Abstentions and broker non-votes will not be taken into account in determining the outcome of the election.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Proposal II: </w:t>
      </w:r>
      <w:r>
        <w:rPr>
          <w:rFonts w:ascii="Arial" w:cs="Arial" w:eastAsia="Arial" w:hAnsi="Arial"/>
          <w:sz w:val="18"/>
          <w:szCs w:val="18"/>
          <w:i w:val="1"/>
          <w:iCs w:val="1"/>
          <w:color w:val="auto"/>
        </w:rPr>
        <w:t>Advisory Vote to Approve Executive Compensation.</w:t>
      </w:r>
      <w:r>
        <w:rPr>
          <w:rFonts w:ascii="Arial" w:cs="Arial" w:eastAsia="Arial" w:hAnsi="Arial"/>
          <w:sz w:val="18"/>
          <w:szCs w:val="18"/>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Proposal III: </w:t>
      </w:r>
      <w:r>
        <w:rPr>
          <w:rFonts w:ascii="Arial" w:cs="Arial" w:eastAsia="Arial" w:hAnsi="Arial"/>
          <w:sz w:val="18"/>
          <w:szCs w:val="18"/>
          <w:i w:val="1"/>
          <w:iCs w:val="1"/>
          <w:color w:val="auto"/>
        </w:rPr>
        <w:t>Ratification of Selection of Registered Independent Public Accounting Firm.</w:t>
      </w:r>
      <w:r>
        <w:rPr>
          <w:rFonts w:ascii="Arial" w:cs="Arial" w:eastAsia="Arial" w:hAnsi="Arial"/>
          <w:sz w:val="18"/>
          <w:szCs w:val="18"/>
          <w:color w:val="auto"/>
        </w:rPr>
        <w:t xml:space="preserve"> To be approved, this matter must receive the affirmative vote of the majority of the shares present in person or by proxy and entitled to vote on the matter. Abstentions will have the effect of “no” votes on this matter. There will not be a broker non-vote with regard to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stockholder proposal intended to be presented at next year’s Annual Meeting, including stockholder nominations for directors, must be received by the Company at its executive offices not later than December 4, 2015 in order to be considered for inclusion in the Company’s proxy statement and form of proxy for such meeting. Any stockholder submitting a proposal with regard to a nominee for election to the Board must also provide the information specified in our bylaws, including the following:</w:t>
      </w:r>
    </w:p>
    <w:p>
      <w:pPr>
        <w:spacing w:after="0" w:line="9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stockholder’s name and address and, if the stockholder holds for the benefit of another, the name and address of the beneficial owner;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NN shares owned;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NN derivative securities owned;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stockholder holds any proxy or other right to vote on behalf of another;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short interest in any NN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rights to dividends on NN shares that are separated or separable from the underlying NN shares;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proportionate interest in any NN securities held by a general or limited partnership or limited liability company, or similar entity where the shareholder owns some or all of such entity;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performance-related fees to which the stockholder is entitled, based on the increase or decrease of the value of NN’s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arrangements, rights or interests in any of the foregoing held by members of the stockholder’s immediate family sharing the same household;</w:t>
      </w:r>
    </w:p>
    <w:p>
      <w:pPr>
        <w:spacing w:after="0" w:line="153"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information reasonably requested by NN.</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our bylaws, proposals of stockholders not intended for inclusion in the Company’s 2016 Proxy Statement must be received by the Company in writing not less than 90 days and not more than 120 days prior to May 14, 2016 to be considered timely. We also advise you to review our bylaws, which contain additional requirements about advance notice of stockholder proposals and director nominations, including the different notice submission date requirements in the event we do not hold our 2016 Annual Meeting of Stockholders on or between April 14, 2016 and July 13, 2016. All stockholder proposals should be sent to NN, Inc., Attention: Secretary, 207 Mockingbird Lane, Johnson City, Tennessee 37604.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Householding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SEC’s rules regarding the delivery of proxy materials to stockholders permit us to deliver a single copy of these documents to an address shared by two or more of our stockholders. This method of delivery is called “householding,” and can significantly reduce our printing and mailing costs. It also reduces the volume of mail you receive. This year, we are delivering only one set of proxy materials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8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you would like to receive more than one set of proxy materials, we will promptly send you additional copies upon written or oral request directed to our Secretary at 207 Mockingbird Lane, Johnson City, Tennessee 37604 or 423-743-9151. The same address and phone number may be used to notify us that you wish to receive a separate set of proxy materials in the future, or to request delivery of a single copy of our proxy materials if you are receiving multiple copies.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2015 Annual Meeting</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Preliminary voting results will be announced at the Annual Meeting. Final results will be disclosed in a Current Report on Form 8-K, which can be found on the “Investor Relations” page of our website, which is </w:t>
      </w:r>
      <w:r>
        <w:rPr>
          <w:rFonts w:ascii="Arial" w:cs="Arial" w:eastAsia="Arial" w:hAnsi="Arial"/>
          <w:sz w:val="18"/>
          <w:szCs w:val="18"/>
          <w:i w:val="1"/>
          <w:iCs w:val="1"/>
          <w:color w:val="auto"/>
        </w:rPr>
        <w:t>www.nninc.com</w:t>
      </w:r>
      <w:r>
        <w:rPr>
          <w:rFonts w:ascii="Arial" w:cs="Arial" w:eastAsia="Arial" w:hAnsi="Arial"/>
          <w:sz w:val="18"/>
          <w:szCs w:val="18"/>
          <w:color w:val="auto"/>
        </w:rPr>
        <w:t>, following the report’s filing the Securities and Exchange Commission within four business days of the Annual Meeting.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 Election of Directors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Company’s Certificate of Incorporation provides for the division of the Board into three classes: Class I, Class II and Class III. Only one class of directors is elected at each annual meeting. Each director elected at an annual meeting serves for a three-year term and until his or her successor is elected and qualified, subject to such director’s earlier death, resignation or removal.</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Three Class II directors will be elected to the Board at the Annual Meeting. The Company has nominated for election Robert E. Brunner, Richard D. Holder and David L. Pugh, each current directors of the Company. Additional information about each of these nominees can be found under “Information about the Directors”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between any director, executive officer or person nominated or chosen to be a director or executive officer known to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 RECOMMENDS A VOTE “FOR” THE ELECTION OF THE NOMINATED DIRECTORS.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Directors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 or nominee.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80" w:type="dxa"/>
            <w:vAlign w:val="bottom"/>
            <w:vMerge w:val="restart"/>
          </w:tcPr>
          <w:p>
            <w:pPr>
              <w:spacing w:after="0"/>
              <w:rPr>
                <w:sz w:val="14"/>
                <w:szCs w:val="14"/>
                <w:color w:val="auto"/>
              </w:rPr>
            </w:pPr>
          </w:p>
        </w:tc>
        <w:tc>
          <w:tcPr>
            <w:tcW w:w="6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3"/>
              </w:rPr>
              <w:t>Age</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Director</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w:t>
            </w:r>
          </w:p>
        </w:tc>
        <w:tc>
          <w:tcPr>
            <w:tcW w:w="37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Positions with the Company</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9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Since</w:t>
            </w:r>
          </w:p>
        </w:tc>
        <w:tc>
          <w:tcPr>
            <w:tcW w:w="8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0"/>
              </w:rPr>
              <w:t>Expires</w:t>
            </w:r>
          </w:p>
        </w:tc>
        <w:tc>
          <w:tcPr>
            <w:tcW w:w="3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E. Brunner</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w:t>
            </w:r>
          </w:p>
        </w:tc>
        <w:tc>
          <w:tcPr>
            <w:tcW w:w="4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2012</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2015</w:t>
            </w:r>
          </w:p>
        </w:tc>
        <w:tc>
          <w:tcPr>
            <w:tcW w:w="400" w:type="dxa"/>
            <w:vAlign w:val="bottom"/>
            <w:tcBorders>
              <w:top w:val="single" w:sz="8" w:color="CCEEFF"/>
            </w:tcBorders>
            <w:shd w:val="clear" w:color="auto" w:fill="CCEEFF"/>
          </w:tcPr>
          <w:p>
            <w:pPr>
              <w:spacing w:after="0"/>
              <w:rPr>
                <w:sz w:val="17"/>
                <w:szCs w:val="17"/>
                <w:color w:val="auto"/>
              </w:rPr>
            </w:pPr>
          </w:p>
        </w:tc>
        <w:tc>
          <w:tcPr>
            <w:tcW w:w="3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Director - Nominee for Re-election</w:t>
            </w:r>
          </w:p>
        </w:tc>
        <w:tc>
          <w:tcPr>
            <w:tcW w:w="0" w:type="dxa"/>
            <w:vAlign w:val="bottom"/>
          </w:tcPr>
          <w:p>
            <w:pPr>
              <w:spacing w:after="0"/>
              <w:rPr>
                <w:sz w:val="1"/>
                <w:szCs w:val="1"/>
                <w:color w:val="auto"/>
              </w:rPr>
            </w:pPr>
          </w:p>
        </w:tc>
      </w:tr>
      <w:tr>
        <w:trPr>
          <w:trHeight w:val="202"/>
        </w:trPr>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Richard D. Holder</w:t>
            </w:r>
          </w:p>
        </w:tc>
        <w:tc>
          <w:tcPr>
            <w:tcW w:w="64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52</w:t>
            </w:r>
          </w:p>
        </w:tc>
        <w:tc>
          <w:tcPr>
            <w:tcW w:w="90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2013</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2015</w:t>
            </w:r>
          </w:p>
        </w:tc>
        <w:tc>
          <w:tcPr>
            <w:tcW w:w="40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Chief Executive Officer, President and</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Director - Nominee for Re-election</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Pugh</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4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Director - Nominee for Re-election</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William Dries</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63</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Werner</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1994</w:t>
            </w:r>
          </w:p>
        </w:tc>
        <w:tc>
          <w:tcPr>
            <w:tcW w:w="480" w:type="dxa"/>
            <w:vAlign w:val="bottom"/>
          </w:tcPr>
          <w:p>
            <w:pPr>
              <w:jc w:val="right"/>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Non-Executive Chairman, Director</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Kennedy</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1997</w:t>
            </w:r>
          </w:p>
        </w:tc>
        <w:tc>
          <w:tcPr>
            <w:tcW w:w="480" w:type="dxa"/>
            <w:vAlign w:val="bottom"/>
          </w:tcPr>
          <w:p>
            <w:pPr>
              <w:jc w:val="right"/>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Robert E. Brunner </w:t>
      </w:r>
      <w:r>
        <w:rPr>
          <w:rFonts w:ascii="Arial" w:cs="Arial" w:eastAsia="Arial" w:hAnsi="Arial"/>
          <w:sz w:val="16"/>
          <w:szCs w:val="16"/>
          <w:color w:val="auto"/>
        </w:rPr>
        <w:t>has been a member of the Board since 2012. Mr. Brunner served as Executive Vice President of Illinois Tool Works, Inc., an</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manufacturer of highly engineered fasteners and components, equipment and consumable systems and specialty products, from 2006 until his retirement in 2011. Prior to this position, Mr. Brunner held the position of President, Global Automotive Fasteners from 2005 to 2006 and President, North American Automotive Fasteners from 2003 to 2005. Prior to this position, Mr. Brunner held a variety of positions within Illinois Tool Works, Inc., including positions in general management, operations management and sales &amp; marketing. Mr. Brunner serves on the board of directors of Leggett &amp; Platt, Incorporated, a publicly held diversified manufacturer of engineered components and products and Lindsay Corporation, a publically held global company focusing on providing irrigation and infrastructure solutions. Mr. Brunner brings to the Board broad industry knowledge, executive leadership experience and extensive experience with mergers and acquisitions. Additionally, his public company board experience is a valuable asset to the Board.</w:t>
      </w:r>
    </w:p>
    <w:p>
      <w:pPr>
        <w:spacing w:after="0" w:line="16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color w:val="auto"/>
        </w:rPr>
        <w:t xml:space="preserve">Richard D. Holder </w:t>
      </w:r>
      <w:r>
        <w:rPr>
          <w:rFonts w:ascii="Arial" w:cs="Arial" w:eastAsia="Arial" w:hAnsi="Arial"/>
          <w:sz w:val="17"/>
          <w:szCs w:val="17"/>
          <w:color w:val="auto"/>
        </w:rPr>
        <w:t>has been a member of the Board and President and Chief Executive Officer of the Company since 2013. Prior to joining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Mr. Holder served as President of Eaton Electric Components, a division of Eaton Corporation’s Electrical Sector from 2010 to 2013, Executive Vice President of Eaton Business Systems from 2007 to 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 Mr. Holder brings to the Board diverse experience in global supply chain management, operations, strategic development and execution and extensive experience in acquisition strategy and integration.</w:t>
      </w:r>
    </w:p>
    <w:p>
      <w:pPr>
        <w:spacing w:after="0" w:line="1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David L. Pugh </w:t>
      </w:r>
      <w:r>
        <w:rPr>
          <w:rFonts w:ascii="Arial" w:cs="Arial" w:eastAsia="Arial" w:hAnsi="Arial"/>
          <w:sz w:val="16"/>
          <w:szCs w:val="16"/>
          <w:color w:val="auto"/>
        </w:rPr>
        <w:t>has been a member of the Board since 2012. Mr. Pugh retired in 2011 as President and Chief Executive Officer and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Applied Industrial Technologies, a publicly held distributor of industrial products and services. Mr. Pugh joined Applied Industrial Technologies in 1999 as President and Chief Operating Officer. Prior to joining Applied Industrial Technologies, Mr. Pugh served as Senior Vice President of the Industrial Control Group of Rockwell International Corporation, a provider of industrial automation control and information solutions, which he joined in 1994. Prior to joining Rockwell, Mr. Pugh held various positions in sales, marketing and operations at Square D Company, a manufacturer of electrical components, and Westinghouse Electric. Mr. Pugh serves on the board of directors of Hexcel Corporation, a publicly held company and a leading producer of advanced composites. Mr. Pugh also serves on the board of directors of R.W. Beckett Corporation, a premiere manufacturer of oil and gas burners. Mr. Pugh brings to the Board valuable bearing and executive leadership experience as well as specialized operational experience in global bearing distribution. Additionally, Mr. Pugh brings to the Board his previous experience on the board of directors of a publicly held company.</w:t>
      </w:r>
    </w:p>
    <w:p>
      <w:pPr>
        <w:spacing w:after="0" w:line="160"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William Dries </w:t>
      </w:r>
      <w:r>
        <w:rPr>
          <w:rFonts w:ascii="Arial" w:cs="Arial" w:eastAsia="Arial" w:hAnsi="Arial"/>
          <w:sz w:val="18"/>
          <w:szCs w:val="18"/>
          <w:color w:val="auto"/>
        </w:rPr>
        <w:t>has been a member of the Board since 2014. Mr. Dries previously served as Senior Vice President and Chief Financial Officer of EnPro</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Industries, Inc., a publicly held engineered industrial products manufacturer, prior to his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0" w:right="299" w:bottom="1440" w:gutter="0" w:footer="0" w:header="0"/>
        </w:sectPr>
      </w:pPr>
    </w:p>
    <w:bookmarkStart w:id="12" w:name="page13"/>
    <w:bookmarkEnd w:id="1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 in 2011. Before assuming his role at EnPro in June 2002, Mr. Dries was affiliated with EnPro and Goodrich Corporation, the former parent company of EnPro, from September 2001. From 1985 until 2001, Mr. Dries was employed by United Dominion Industries Limited, a machine and instrument manufacturer, where he was Senior Vice President and Chief Financial Officer, having previously served as Manager of Accounting and Senior Vice President of Finance and Controller. A certified public accountant, Mr. Dries was an audit principal for Ernst &amp; Young in New York for 11 years before joining United Dominion. Mr. Dries is a director of TransDigm, a producer of aircraft components. Mr. Dries also serves on the board of directors of Polypore International, Inc., a publicly held global high technology filtration company specializing in microporous membranes. Mr. Dries brings to the Board financial acumen and extensive experience working with public companies in the precision manufacturing and industrial sectors.</w:t>
      </w:r>
    </w:p>
    <w:p>
      <w:pPr>
        <w:spacing w:after="0" w:line="174"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Michael E. Werner </w:t>
      </w:r>
      <w:r>
        <w:rPr>
          <w:rFonts w:ascii="Arial" w:cs="Arial" w:eastAsia="Arial" w:hAnsi="Arial"/>
          <w:sz w:val="17"/>
          <w:szCs w:val="17"/>
          <w:color w:val="auto"/>
        </w:rPr>
        <w:t>has been a member of the Board since 1995. Mr. Werner retired in 2009 from Werner &amp; Associates, a management consulting firm</w:t>
      </w:r>
      <w:r>
        <w:rPr>
          <w:rFonts w:ascii="Arial" w:cs="Arial" w:eastAsia="Arial" w:hAnsi="Arial"/>
          <w:sz w:val="17"/>
          <w:szCs w:val="17"/>
          <w:b w:val="1"/>
          <w:bCs w:val="1"/>
          <w:color w:val="auto"/>
        </w:rPr>
        <w:t xml:space="preserve"> </w:t>
      </w:r>
      <w:r>
        <w:rPr>
          <w:rFonts w:ascii="Arial" w:cs="Arial" w:eastAsia="Arial" w:hAnsi="Arial"/>
          <w:sz w:val="17"/>
          <w:szCs w:val="17"/>
          <w:color w:val="auto"/>
        </w:rPr>
        <w:t>that Mr. Werner co-founded in 1982 specializing in manufacturing companies. During the five years prior to starting his business, Mr. Werner served as Director of Strategic Planning and Business Development for the Uniroyal Chemical Company, a specialty chemical manufacturer. He also has held positions with the New York Central Company, Western Electric Company and The Continental Group. Mr. Werner brings to the Board strategic insight and knowledge of marketing and strategic planning processes developed through a consultant’s perspective.</w:t>
      </w:r>
    </w:p>
    <w:p>
      <w:pPr>
        <w:spacing w:after="0" w:line="16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 xml:space="preserve">G. Ronald Morris </w:t>
      </w:r>
      <w:r>
        <w:rPr>
          <w:rFonts w:ascii="Arial" w:cs="Arial" w:eastAsia="Arial" w:hAnsi="Arial"/>
          <w:sz w:val="17"/>
          <w:szCs w:val="17"/>
          <w:color w:val="auto"/>
        </w:rPr>
        <w:t>has been a member of the Board since 1994. He was appointed Non-Executive Chairman of the Board on June 3, 2013. Mr. Morris</w:t>
      </w:r>
      <w:r>
        <w:rPr>
          <w:rFonts w:ascii="Arial" w:cs="Arial" w:eastAsia="Arial" w:hAnsi="Arial"/>
          <w:sz w:val="17"/>
          <w:szCs w:val="17"/>
          <w:b w:val="1"/>
          <w:bCs w:val="1"/>
          <w:color w:val="auto"/>
        </w:rPr>
        <w:t xml:space="preserve"> </w:t>
      </w:r>
      <w:r>
        <w:rPr>
          <w:rFonts w:ascii="Arial" w:cs="Arial" w:eastAsia="Arial" w:hAnsi="Arial"/>
          <w:sz w:val="17"/>
          <w:szCs w:val="17"/>
          <w:color w:val="auto"/>
        </w:rPr>
        <w:t>retired in 1999 from Western Industries, Inc., a contract manufacturer of metal and plastic products where he served as President, Chief Executive Officer and director since 1991. From 1989 to 1991, Mr. Morris served as Chairman of the board of directors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 Mr. Morris has extensive executive leadership and board experience with technology, precision metal, plastic and bearing manufacturers. Mr. Morris brings to the Board substantial knowledge and expertise in product development and global manufacturing. He also brings invaluable insight and perspective to the Company’s strategic development.</w:t>
      </w:r>
    </w:p>
    <w:p>
      <w:pPr>
        <w:spacing w:after="0" w:line="174"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color w:val="auto"/>
        </w:rPr>
        <w:t xml:space="preserve">John C. Kennedy </w:t>
      </w:r>
      <w:r>
        <w:rPr>
          <w:rFonts w:ascii="Arial" w:cs="Arial" w:eastAsia="Arial" w:hAnsi="Arial"/>
          <w:sz w:val="17"/>
          <w:szCs w:val="17"/>
          <w:color w:val="auto"/>
        </w:rPr>
        <w:t>has been a member of the Board since 2014. He previously served as the Chief Executive Officer of Autocam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“Autocam,” a manufacturer of components for fuel systems, engines and transmission, power steering and electric motors, from 1988 until NN’s acquisition of Autocam in August 2014. Mr. Kennedy currently serves as director, President and Chief Executive Officer of Autocam Medical Devices, LLC, a privately held contract medical device manufacturer and former affiliate of Autocam Corportion. Mr. Kennedy also serves on a number of private for-profit and non-profit boards, including Lacks Enterprises, a privately held automotive trim component manufacturer, the Van Andel Institute, a nonprofit medical research institute, and Grand Valley State University Board of Trustees. Mr. Kennedy’s appointment to the Board was made pursuant to the merger agreement relating to NN’s acquisition of Autocam. Mr. Kennedy brings to the Board expertise in the industrial and manufacturing sectors, extensive experience in mergers and acquisitions and the leadership and management of large multinational corporations.</w:t>
      </w:r>
    </w:p>
    <w:p>
      <w:pPr>
        <w:spacing w:after="0" w:line="172"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b w:val="1"/>
          <w:bCs w:val="1"/>
          <w:color w:val="auto"/>
        </w:rPr>
        <w:t xml:space="preserve">Steven T. Warshaw </w:t>
      </w:r>
      <w:r>
        <w:rPr>
          <w:rFonts w:ascii="Arial" w:cs="Arial" w:eastAsia="Arial" w:hAnsi="Arial"/>
          <w:sz w:val="17"/>
          <w:szCs w:val="17"/>
          <w:color w:val="auto"/>
        </w:rPr>
        <w:t>has been a member of the Board since 1997. Mr. Warshaw retired in 2005 from M Cubed Technologies, a developer and</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manufacturer of advanced composite materials and ultra-precise electronic components and modules where he served as President and Chief Executive Officer since 2002. Prior to this position, he served as President of Hexcel Schwebel, a global producer of advanced structural materials, from 2000 to 2001. Mr. Warshaw served as Senior Vice President of Photronics, Inc., a global supplier to the semiconductor industry from 1999 to 2000. From 1996 to 1999, he served as President of Olin Microelectronic Materials, a company supplying technologically advanced chemicals, products, and services to semiconductor manufacturers. Mr. Warshaw serves on the board of directors of Park Electrochemical Corp., a publicly held advanced materials manufacturing company. Mr. Warshaw brings to the Board considerable executive experience as well as providing the benefit of service on the board of directors of a publicly traded company. Mr. Warshaw has extensive knowledge and brings insights and perspectives from positions he has held in important areas, including global operations, product development, marketing and executive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Directors who are not employees of the Company are paid an annual retainer of $35,000 and a fee of $1,500 for each Board meeting attended, $1,000 for each committee meeting attended, and $500 for each teleconference meeting attended. Mr. Morris, our Non-Executive Chairman, was paid a one-time lump sum amount of $10,000 upon his appointment and receives 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retainer of $10,000. Additionally, the Chairman of the Audit Committee is paid an annual retainer of $9,000 and each of the Chairman of the Governance Committee and the Chairman of the Compensation Committee are paid an annual retainer of $5,000. Directors who are employees of the Company do not receive any compensation for their service as directors. Directors may elect to defer some or all of the compensation they are provided by the Company. Additionally, the Compensation Committee has from time to time granted stock options to non-employee directors. The Company also reimburses all directors for out-of-pocket expenses incurred in attending Board and committee meetings. Director compensation is reviewed and approved by the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the compensation our non-employee directors received during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 For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1"/>
              </w:rPr>
              <w:t>Fees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Change in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Earned</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Stock</w:t>
            </w: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and Nonqualified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or Paid</w:t>
            </w: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Deferred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20" w:type="dxa"/>
            <w:vAlign w:val="bottom"/>
            <w:vMerge w:val="restart"/>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 Cash</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320" w:type="dxa"/>
            <w:vAlign w:val="bottom"/>
            <w:vMerge w:val="continue"/>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5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5"/>
                <w:szCs w:val="15"/>
                <w:color w:val="auto"/>
              </w:rPr>
            </w:pPr>
          </w:p>
        </w:tc>
        <w:tc>
          <w:tcPr>
            <w:tcW w:w="5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($)(2)</w:t>
            </w:r>
          </w:p>
        </w:tc>
        <w:tc>
          <w:tcPr>
            <w:tcW w:w="320" w:type="dxa"/>
            <w:vAlign w:val="bottom"/>
          </w:tcPr>
          <w:p>
            <w:pPr>
              <w:spacing w:after="0"/>
              <w:rPr>
                <w:sz w:val="15"/>
                <w:szCs w:val="15"/>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Earnings ($)</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E. Brunner</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66,500</w:t>
            </w: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78,520</w:t>
            </w: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18,620</w:t>
            </w: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163,640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Richard G. Fanelli (3)</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31,000</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(34,040)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76,872</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78,520</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18,620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164,142</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62,500</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78,520</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18,620</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159,640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66,472</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78,520</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18,620</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163,612</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60,472</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78,520</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18,620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5,471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163,083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Dries</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34,600</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89,960</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18,620</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143,180</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John C. Kennedy</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12,500</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4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as computed in accordance with the Financial Accounting Standards Board (“FASB”) Accounting Standards Codification (“ASC”) Topic 718, of 4,000 restricted shares of stock awarded on March 19, 2014 to each of Messrs. Brunner, Morris, Pugh, Warshaw and Werner. On May 15, 2014, William Dries was awarded 4,000 restricted shares. The restricted stock awards to directors vest over a period of three years beginning on the first anniversary of the date of grant.</w:t>
      </w:r>
    </w:p>
    <w:p>
      <w:pPr>
        <w:spacing w:after="0" w:line="2"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as computed in accordance with the FASB ASC Topic 718, of 2,000 options to purchase the Company’s stock awarded on March 19, 2014 to each of Messrs. Brunner, Morris, Pugh, Warshaw and Werner. On May 15, 2014, William Dries was awarded 2,000 options to purchase the Company’s stock. The options granted to directors vest on the first anniversary of the date of grant. The assumptions used to calculate the value of these option awards are set forth under Note 9 of the Notes to Consolidated Financial Statements included in the Company’s Annual Report on Form 10-K for the year ended December 31, 2014, filed with the Commission on March 16, 2015.</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Richard G. Fanelli resigned from the Board, effective May 15,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nonqualified deferred compensation during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Director</w:t>
            </w: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Registrant</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Aggregate</w:t>
            </w: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Aggregate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60" w:type="dxa"/>
            <w:vAlign w:val="bottom"/>
            <w:vMerge w:val="restart"/>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Withdrawals/</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13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in Last FY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in Last FY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7"/>
              </w:rPr>
              <w:t xml:space="preserve">Last FY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15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 xml:space="preserve">Distributions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0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rPr>
              <w:t>FYE ($)</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E. Brunner</w:t>
            </w: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Richard G. Fanelli (1)</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7,410</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(41,450)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81,344</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(9,870)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5,471</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374,800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Dries</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John C. Kennedy</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Richard G. Fanelli resigned from the Board, effective May 15,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of the Board</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The Audit Committee consists of William Dries who serves as Chairman, G. Ronald Morris, David L. Pugh and Robert E. Brunner.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members of the Audit Committee are independent as defined by Nasdaq rules and Mr. Dries has been designated as the “audit committee financial expert” as defined by Item 407(d) of Regulation S-K. Among other matters described in its charter, the Audit Committee’s primary duties and responsibilities are to:</w:t>
      </w:r>
    </w:p>
    <w:p>
      <w:pPr>
        <w:spacing w:after="0" w:line="52" w:lineRule="exact"/>
        <w:rPr>
          <w:sz w:val="20"/>
          <w:szCs w:val="20"/>
          <w:color w:val="auto"/>
        </w:rPr>
      </w:pPr>
    </w:p>
    <w:p>
      <w:pPr>
        <w:ind w:left="900" w:right="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that management has maintained the reliability and integrity of the accounting policies and financial reporting and disclosure practices of the Company;</w:t>
      </w:r>
    </w:p>
    <w:p>
      <w:pPr>
        <w:spacing w:after="0" w:line="75" w:lineRule="exact"/>
        <w:rPr>
          <w:rFonts w:ascii="Arial" w:cs="Arial" w:eastAsia="Arial" w:hAnsi="Arial"/>
          <w:sz w:val="18"/>
          <w:szCs w:val="18"/>
          <w:color w:val="auto"/>
        </w:rPr>
      </w:pPr>
    </w:p>
    <w:p>
      <w:pPr>
        <w:ind w:left="900" w:right="54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51" w:lineRule="exact"/>
        <w:rPr>
          <w:rFonts w:ascii="Arial" w:cs="Arial" w:eastAsia="Arial" w:hAnsi="Arial"/>
          <w:sz w:val="17"/>
          <w:szCs w:val="17"/>
          <w:color w:val="auto"/>
        </w:rPr>
      </w:pPr>
    </w:p>
    <w:p>
      <w:pPr>
        <w:ind w:left="900" w:right="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that management has established and maintains processes to assure compliance by the Company with all applicable laws, regulations and corporate policies including the Code of Conduct and Ethics statement;</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the registered independent public accounting firm to conduct the annual audit of the books and accounts of the Company, including the preapproval of all associated fees;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preapprove all permissible non-audit related services provided by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the independence of the independent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 that management has designed, implemented and maintains processes to assess and manage enterprise and event risk;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the effectiveness of accounting and financial controls of the Company with the registered independent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 and discuss with management and the independent auditor the annual audit and quarterly financial statements of the Company;</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recommend to the Board that the financial statements be included in the Annual Report on Form 10-K and in the Quarterly Reports on Form 10-Q;</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earnings press releases;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confidential, anonymous procedures for the receipt, retention and treatment of complaints regarding accounting, internal accounting controls and auditing matters.</w:t>
      </w:r>
    </w:p>
    <w:p>
      <w:pPr>
        <w:spacing w:after="0" w:line="6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Audit Committee met seven times in 2014.</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Compensation Committee consists of Steven T. Warshaw who serves as Chairman, Michael E. Werner, William Dries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David L. Pugh. All members of the Compensation Committee are independent as defined by Nasdaq rules. Among other matters described in its charter, the Compensation Committee’s primary duties and responsibilities are to:</w:t>
      </w:r>
    </w:p>
    <w:p>
      <w:pPr>
        <w:spacing w:after="0" w:line="8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review and approve corporate goals and objectives relative to the Chief Executive Officer evaluation, compensation and performance;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the Company’s executive compensation policies and practices;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supervise the administration of the Company’s employee benefit plans, including the 2005 NN, Inc. Stock Incentive Plan and the 2011 Stock Incentive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5" w:name="page16"/>
    <w:bookmarkEnd w:id="15"/>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retain and terminate any compensation consultant to be used to assist in the evaluation of director, CEO, or senior executive compensation;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and approve annually for senior executives of the company: (a) the annual base salary level, (b) the annual incentive opportunity level,</w:t>
      </w:r>
    </w:p>
    <w:p>
      <w:pPr>
        <w:spacing w:after="0" w:line="46" w:lineRule="exact"/>
        <w:rPr>
          <w:rFonts w:ascii="Arial" w:cs="Arial" w:eastAsia="Arial" w:hAnsi="Arial"/>
          <w:sz w:val="16"/>
          <w:szCs w:val="16"/>
          <w:color w:val="auto"/>
        </w:rPr>
      </w:pPr>
    </w:p>
    <w:p>
      <w:pPr>
        <w:ind w:left="900" w:right="180"/>
        <w:spacing w:after="0" w:line="261" w:lineRule="auto"/>
        <w:rPr>
          <w:rFonts w:ascii="Arial" w:cs="Arial" w:eastAsia="Arial" w:hAnsi="Arial"/>
          <w:sz w:val="16"/>
          <w:szCs w:val="16"/>
          <w:color w:val="auto"/>
        </w:rPr>
      </w:pPr>
      <w:r>
        <w:rPr>
          <w:rFonts w:ascii="Arial" w:cs="Arial" w:eastAsia="Arial" w:hAnsi="Arial"/>
          <w:sz w:val="18"/>
          <w:szCs w:val="18"/>
          <w:color w:val="auto"/>
        </w:rPr>
        <w:t>(c) the long-term incentive opportunity level, (d) employment agreements, severance agreements, and change in control agreements/provisions, and (e) special or supplemental benefits;</w:t>
      </w:r>
    </w:p>
    <w:p>
      <w:pPr>
        <w:spacing w:after="0" w:line="89"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annually the risks that arise from the Company’s compensation policies and determine whether such risks are reasonably likely to have a material adverse effect on the Company;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assess the Company’s senior management succession plan on an annual basis.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In April 2003, the Compensation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8"/>
          <w:szCs w:val="18"/>
          <w:i w:val="1"/>
          <w:iCs w:val="1"/>
          <w:color w:val="auto"/>
        </w:rPr>
        <w:t>www.nninc.com.</w:t>
      </w:r>
      <w:r>
        <w:rPr>
          <w:rFonts w:ascii="Arial" w:cs="Arial" w:eastAsia="Arial" w:hAnsi="Arial"/>
          <w:sz w:val="18"/>
          <w:szCs w:val="18"/>
          <w:color w:val="auto"/>
        </w:rPr>
        <w:t xml:space="preserve"> The functions of the Compensation Committee are discussed in further detail in the section entitled “Compensation Committee Report” herein. The Compensation Committee met six times in 2014.</w:t>
      </w:r>
    </w:p>
    <w:p>
      <w:pPr>
        <w:spacing w:after="0" w:line="18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b w:val="1"/>
          <w:bCs w:val="1"/>
          <w:i w:val="1"/>
          <w:iCs w:val="1"/>
          <w:color w:val="auto"/>
        </w:rPr>
        <w:t>Governance Committee</w:t>
      </w:r>
      <w:r>
        <w:rPr>
          <w:rFonts w:ascii="Arial" w:cs="Arial" w:eastAsia="Arial" w:hAnsi="Arial"/>
          <w:sz w:val="16"/>
          <w:szCs w:val="16"/>
          <w:color w:val="auto"/>
        </w:rPr>
        <w:t>. The Governance Committee was formed in 2002. The Committee consists of Robert E. Brunner who serves as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Michael E. Werner, Steven T. Warshaw, G. Ronald Morris and John C. Kennedy. All members of the Governance Committee are independent as defined by Nasdaq rules. Among other matters as provided in its charter, the Governance Committee’s primary duties and responsibilities are to:</w:t>
      </w:r>
    </w:p>
    <w:p>
      <w:pPr>
        <w:spacing w:after="0" w:line="5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recommend qualified candidates for membership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procedures for the retirement or replacement of Board members;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process and criteria for Board membership;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 candidate’s qualifications and any potential conflicts with the Company’s interests;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 the contributions and qualifications of current Directors in connection with their re-nomination to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process and criteria for Committee membership and each Committee’s chair;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maintain a set of the Company’s Governance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the process of providing information to the Board;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oversight and review the Board performance on an annual basis.</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 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65"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 In evaluating director nominees, including candidates submitted by stockholders, the Governance Committee will consider the candidate’s experience, integrity, ability to make independent analytical inquiries, understanding of the Company’s business environment and willingness to devote adequate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to Board duties. Although diversity is a consideration in the Committee’s consideration of candidates, the Company does not have a formal policy regarding diversity. The Company does not discriminate against candidates on the basis of gender, race, religion, national origin, sexual orientation, disability or any other basis as prescribed by law. The Governance Committee will also consider whether a candidate meets the definition of “independent director” under Nasdaq rules.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evaluating director nominees, including candidates submitted by stockholders, the Governance Committee will consider a director candidate’s experience, qualifications, attributes, and skills. The Governance Committee will also consider the candidate’s integrity, ability to make independent analytical inquiries, understanding of our business environment and willingness to devote adequate time to board duties. The Governance Committee will also consider whether a candidate meets the definition of “independent director” under Nasdaq rules. The Governance Committee will evaluate any director candidate nominated by stockholders according to the foregoing criteria and, based on the results of that evaluation, will determine whether to include the candidate in its recommended slate of director nominees in the proxy statement. No stockholder or group of stockholders who beneficially owned more than 5% of NN’s common stock for at least one year at the time of such recommendation has recommended candidates for election to the Board.</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In April 2003, the Governance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8"/>
          <w:szCs w:val="18"/>
          <w:i w:val="1"/>
          <w:iCs w:val="1"/>
          <w:color w:val="auto"/>
        </w:rPr>
        <w:t>www.nninc.com</w:t>
      </w:r>
      <w:r>
        <w:rPr>
          <w:rFonts w:ascii="Arial" w:cs="Arial" w:eastAsia="Arial" w:hAnsi="Arial"/>
          <w:sz w:val="18"/>
          <w:szCs w:val="18"/>
          <w:color w:val="auto"/>
        </w:rPr>
        <w:t>. The Governance Committee met seven times in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current membership of each standing Committee of the Board: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700" w:type="dxa"/>
            <w:vAlign w:val="bottom"/>
            <w:vMerge w:val="restart"/>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Audit</w:t>
            </w: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Compensation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12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Committee</w:t>
            </w:r>
          </w:p>
        </w:tc>
        <w:tc>
          <w:tcPr>
            <w:tcW w:w="146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Committee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E. Brunner</w:t>
            </w: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X</w:t>
            </w: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William Dries</w:t>
            </w:r>
          </w:p>
        </w:tc>
        <w:tc>
          <w:tcPr>
            <w:tcW w:w="128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Chair</w:t>
            </w: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12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128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Chair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X</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Kennedy</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Board is responsible for overseeing that the business of the Company is managed to meet the Company’s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Committees of the Board are chaired and comprised solely of independent Board members. During 2014, our independent, non-management directors regularly met without management present.</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of the date of this Proxy Statement, the positions of Chairman of the Board and Chief Executive Officer are held by two different individuals. The Board is led by G. Ronald Morris, the Chairman of the Board and an independent director. Mr. Morris has served as our Chairman since 2013 and has performed the responsibilities prescribed to him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Board has determined that the current separation of Chairman of the Board and Chief Executive Officer is the most appropriate structure at this time as it provides an effective balance between oversight of management and day-to-day leadership. Mr. Morris, a long-time independent director of the Company, has extensive experience with technology, precision metal, plastic and bearing manufacturers and has deep knowledge about the Company, its operations and businesses, which has been advantageous in leading the Board in the performance of its duties, while allowing our Chief Executive Officer to execute the Company’s strategic plan and provide day-to-day leadership. The Board may, at a future date, combine the Chairman and Chief Executive Officer roles if the Board determines that such a leadership structure would be more beneficial.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Independence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shares of our common stock are traded on the Nasdaq Global Select Market,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concerning his or her background, employment and affiliations, including family relationships, our Board has determined that none of our current directors other than Mr. Holder, who is our Chief Executive Officer, has a relationship that would interfere with the exercise of independent judgment in carrying out the responsibilities of a director and that each of these directors is “independent” as that term is defined under Rule 5605(a)(2) of the Nasdaq Marketplace Rules. Furthermore, our Board previously determined that Richard G. Fanelli, who served on our Board during 2014 until his resignation in May 2014, was an “independent” director under the Nasdaq Marketplace Rules during his service on the Board in 2014. In making each of these determinations, our Board considered the relationships that each such director has with us and all other facts and circumstances the Board deemed relevant in determining independence.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 The Company’s Chief Compliance Officer is responsible for corporate risk management and reports directly to the Audit Committee on financial, accounting and regulatory matters.</w:t>
      </w:r>
    </w:p>
    <w:p>
      <w:pPr>
        <w:spacing w:after="0" w:line="18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Board and its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Board has delegated certain risk management responsibility to its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the accounting policies and financial reporting and disclosures of the Company. The Governance Committee is responsible for the oversight of corporate governance, the selection of the candidates for the Board and the evaluation of Board members. The Compensation Committee is responsible for evaluating, approving and monitoring the executive compensation plans, policies and programs of the Company and to oversee other significant human resource issues. Additionally, the Compensation Committee is responsible for reviewing and overseeing the management of any risk related to the Company’s compensation plans, policies and programs. The Compensation Committee reviews such risks annually and in connection with discussions of various compensation developments and benefits throughout the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Board met eleven times in 2014. All current directors attended at least 75% of the aggregate of the total number of meetings of the Board and the total number of meetings held by all committees of the Board on which they served. While the Company does not have a policy requiring attendance by directors at the Annual Meeting, all of the current directors attended the 2014 Annual Meeting, except for Mr. Kennedy, who had not yet joined the Board.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Stockholders and other interested parties may contact the Board, any of its Committees, its independent directors, or any individual director by sending correspondence to NN, Inc., Attention: Secretary, 207 Mockingbird Lane, Johnson City, Tennessee 37604. Any mail received by the Secretary with the exception of improper commercial solicitations will be forwarded to the members of the Board for their further action, if necessary.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Ethics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Board has adopted a Code of Ethics applicable to our executive officers, including our Chief Executive Officer and Chief Financial Officer, as well as our directors and employees. The Code of Ethics is available in the “About NN” section of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We intend to post amendments to or waivers from our Code of Ethics (to the extent applicable to our Chief Executive Officer, Principal Financial Officer or Principal Accounting Officer) at this location on our website.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Corporate Governance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Clawback Policy</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March 2015, the Board adopted a clawback policy. Under this policy, if the Compensation Committee determines that any current or former executive officer of NN has caused or otherwise directly contributed to the need for a material restatement of the Company’s financial results or engaged in willful misconduct or fraud, the Compensation Committee may require such executive officers to repay to NN any portion of incentive compensation paid in the preceding three years that would not have been paid in light of such misconduct or if such compensation had been determined based on the financial results reported in the restated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Stock Ownership Guidelines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March 2015, the Board adopted stock ownership guidelines for our directors and executive officers. These guidelines are designed to align the Board’s and our executives’ long-term financial interests with those of stockholders. Our stock ownership guidelines require Mr. Holder, our Chief Executive Officer, to own NN stock worth five times his annual base salary and our other executive officers to own NN stock worth three times their respective annual base salaries. Non-employee directors are required to own NN stock worth three times their annual retainer of director fees. Each director and executive has five years from the date he or she becomes subject to the stock ownership guidelines to meet his or her target. Stock options do not count toward the ownership guideline.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Beneficial Ownership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Management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shows, as of March 20, 2015 and based on 19,050,749 shares of common stock outstanding, the beneficial ownership of common stock by each director and nominee, each named executive officer, and all directors and executive officers as a group, in each case as reported to the Company by such persons.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600" w:type="dxa"/>
            <w:vAlign w:val="bottom"/>
          </w:tcPr>
          <w:p>
            <w:pPr>
              <w:spacing w:after="0"/>
              <w:rPr>
                <w:sz w:val="16"/>
                <w:szCs w:val="16"/>
                <w:color w:val="auto"/>
              </w:rPr>
            </w:pPr>
          </w:p>
        </w:tc>
        <w:tc>
          <w:tcPr>
            <w:tcW w:w="22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7"/>
              </w:rPr>
              <w:t>Amount and Nature of</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Beneficial Owner (1)</w:t>
            </w:r>
          </w:p>
        </w:tc>
        <w:tc>
          <w:tcPr>
            <w:tcW w:w="2600" w:type="dxa"/>
            <w:vAlign w:val="bottom"/>
          </w:tcPr>
          <w:p>
            <w:pPr>
              <w:spacing w:after="0"/>
              <w:rPr>
                <w:sz w:val="11"/>
                <w:szCs w:val="11"/>
                <w:color w:val="auto"/>
              </w:rPr>
            </w:pPr>
          </w:p>
        </w:tc>
        <w:tc>
          <w:tcPr>
            <w:tcW w:w="2880" w:type="dxa"/>
            <w:vAlign w:val="bottom"/>
            <w:gridSpan w:val="3"/>
          </w:tcPr>
          <w:p>
            <w:pPr>
              <w:jc w:val="right"/>
              <w:ind w:right="760"/>
              <w:spacing w:after="0" w:line="129" w:lineRule="exact"/>
              <w:rPr>
                <w:sz w:val="20"/>
                <w:szCs w:val="20"/>
                <w:color w:val="auto"/>
              </w:rPr>
            </w:pPr>
            <w:r>
              <w:rPr>
                <w:rFonts w:ascii="Arial" w:cs="Arial" w:eastAsia="Arial" w:hAnsi="Arial"/>
                <w:sz w:val="14"/>
                <w:szCs w:val="14"/>
                <w:b w:val="1"/>
                <w:bCs w:val="1"/>
                <w:color w:val="auto"/>
              </w:rPr>
              <w:t>Beneficial Ownership (2)</w:t>
            </w:r>
          </w:p>
        </w:tc>
        <w:tc>
          <w:tcPr>
            <w:tcW w:w="18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Percent of Class (2)</w:t>
            </w: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Holder</w:t>
            </w:r>
          </w:p>
        </w:tc>
        <w:tc>
          <w:tcPr>
            <w:tcW w:w="6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101,668(3)</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2880" w:type="dxa"/>
            <w:vAlign w:val="bottom"/>
            <w:gridSpan w:val="3"/>
          </w:tcPr>
          <w:p>
            <w:pPr>
              <w:jc w:val="right"/>
              <w:ind w:right="540"/>
              <w:spacing w:after="0"/>
              <w:rPr>
                <w:sz w:val="20"/>
                <w:szCs w:val="20"/>
                <w:color w:val="auto"/>
              </w:rPr>
            </w:pPr>
            <w:r>
              <w:rPr>
                <w:rFonts w:ascii="Arial" w:cs="Arial" w:eastAsia="Arial" w:hAnsi="Arial"/>
                <w:sz w:val="18"/>
                <w:szCs w:val="18"/>
                <w:color w:val="auto"/>
              </w:rPr>
              <w:t>137,209(4)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T. Gentry III (5)</w:t>
            </w:r>
          </w:p>
        </w:tc>
        <w:tc>
          <w:tcPr>
            <w:tcW w:w="2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56,600(6)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William C. Kelly, Jr.</w:t>
            </w:r>
          </w:p>
        </w:tc>
        <w:tc>
          <w:tcPr>
            <w:tcW w:w="2880" w:type="dxa"/>
            <w:vAlign w:val="bottom"/>
            <w:gridSpan w:val="3"/>
          </w:tcPr>
          <w:p>
            <w:pPr>
              <w:jc w:val="right"/>
              <w:ind w:right="540"/>
              <w:spacing w:after="0"/>
              <w:rPr>
                <w:sz w:val="20"/>
                <w:szCs w:val="20"/>
                <w:color w:val="auto"/>
              </w:rPr>
            </w:pPr>
            <w:r>
              <w:rPr>
                <w:rFonts w:ascii="Arial" w:cs="Arial" w:eastAsia="Arial" w:hAnsi="Arial"/>
                <w:sz w:val="18"/>
                <w:szCs w:val="18"/>
                <w:color w:val="auto"/>
              </w:rPr>
              <w:t>62,059(7)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Widders</w:t>
            </w:r>
          </w:p>
        </w:tc>
        <w:tc>
          <w:tcPr>
            <w:tcW w:w="2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43,909(8)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2880" w:type="dxa"/>
            <w:vAlign w:val="bottom"/>
            <w:gridSpan w:val="3"/>
          </w:tcPr>
          <w:p>
            <w:pPr>
              <w:jc w:val="right"/>
              <w:ind w:right="540"/>
              <w:spacing w:after="0"/>
              <w:rPr>
                <w:sz w:val="20"/>
                <w:szCs w:val="20"/>
                <w:color w:val="auto"/>
              </w:rPr>
            </w:pPr>
            <w:r>
              <w:rPr>
                <w:rFonts w:ascii="Arial" w:cs="Arial" w:eastAsia="Arial" w:hAnsi="Arial"/>
                <w:sz w:val="18"/>
                <w:szCs w:val="18"/>
                <w:color w:val="auto"/>
              </w:rPr>
              <w:t>31,800(9)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Dries</w:t>
            </w:r>
          </w:p>
        </w:tc>
        <w:tc>
          <w:tcPr>
            <w:tcW w:w="2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20,500(10)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2880" w:type="dxa"/>
            <w:vAlign w:val="bottom"/>
            <w:gridSpan w:val="3"/>
          </w:tcPr>
          <w:p>
            <w:pPr>
              <w:jc w:val="right"/>
              <w:ind w:right="460"/>
              <w:spacing w:after="0"/>
              <w:rPr>
                <w:sz w:val="20"/>
                <w:szCs w:val="20"/>
                <w:color w:val="auto"/>
              </w:rPr>
            </w:pPr>
            <w:r>
              <w:rPr>
                <w:rFonts w:ascii="Arial" w:cs="Arial" w:eastAsia="Arial" w:hAnsi="Arial"/>
                <w:sz w:val="18"/>
                <w:szCs w:val="18"/>
                <w:color w:val="auto"/>
              </w:rPr>
              <w:t>126,000(11)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Pugh</w:t>
            </w:r>
          </w:p>
        </w:tc>
        <w:tc>
          <w:tcPr>
            <w:tcW w:w="2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31,800(12)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2880" w:type="dxa"/>
            <w:vAlign w:val="bottom"/>
            <w:gridSpan w:val="3"/>
          </w:tcPr>
          <w:p>
            <w:pPr>
              <w:jc w:val="right"/>
              <w:ind w:right="460"/>
              <w:spacing w:after="0"/>
              <w:rPr>
                <w:sz w:val="20"/>
                <w:szCs w:val="20"/>
                <w:color w:val="auto"/>
              </w:rPr>
            </w:pPr>
            <w:r>
              <w:rPr>
                <w:rFonts w:ascii="Arial" w:cs="Arial" w:eastAsia="Arial" w:hAnsi="Arial"/>
                <w:sz w:val="18"/>
                <w:szCs w:val="18"/>
                <w:color w:val="auto"/>
              </w:rPr>
              <w:t>98,000(13)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Werner</w:t>
            </w:r>
          </w:p>
        </w:tc>
        <w:tc>
          <w:tcPr>
            <w:tcW w:w="2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88,220(14)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John C. Kennedy</w:t>
            </w:r>
          </w:p>
        </w:tc>
        <w:tc>
          <w:tcPr>
            <w:tcW w:w="2880" w:type="dxa"/>
            <w:vAlign w:val="bottom"/>
            <w:gridSpan w:val="3"/>
          </w:tcPr>
          <w:p>
            <w:pPr>
              <w:jc w:val="right"/>
              <w:ind w:right="460"/>
              <w:spacing w:after="0"/>
              <w:rPr>
                <w:sz w:val="20"/>
                <w:szCs w:val="20"/>
                <w:color w:val="auto"/>
              </w:rPr>
            </w:pPr>
            <w:r>
              <w:rPr>
                <w:rFonts w:ascii="Arial" w:cs="Arial" w:eastAsia="Arial" w:hAnsi="Arial"/>
                <w:sz w:val="18"/>
                <w:szCs w:val="18"/>
                <w:color w:val="auto"/>
              </w:rPr>
              <w:t>1,093,276(15)</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5.74%</w:t>
            </w:r>
          </w:p>
        </w:tc>
      </w:tr>
      <w:tr>
        <w:trPr>
          <w:trHeight w:val="202"/>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6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 persons)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1,903,934</w:t>
            </w:r>
          </w:p>
        </w:tc>
        <w:tc>
          <w:tcPr>
            <w:tcW w:w="74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r>
    </w:tbl>
    <w:p>
      <w:pPr>
        <w:spacing w:after="0" w:line="22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address of each beneficial owner is c/o NN, Inc., 207 Mockingbird Lane, Johnson City, Tennessee 37604.</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Includes shares of common stock subject to options exercisable within 60 days of March 20, 2015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41,666 shares of common stock subject to options that are presently exercisable or exercisable within 60 days of March 20, 2015.</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87,834 shares of common stock subject to options that are presently exercisable or exercisable within 60 days of March 20, 2015.</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Gentry retired from his position of Senior Vice President — Managing Director, Metal Bearing Components, effective as of December 31, 2014.</w:t>
      </w:r>
    </w:p>
    <w:p>
      <w:pPr>
        <w:spacing w:after="0" w:line="32"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33,000 shares of common stock subject to options that are presently exercisable or exercisable within 60 days of March 20, 2015 and 26,500 shares of common stock owned by Mr. Gentry’s spouse.</w:t>
      </w: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30,000 shares of common stock subject to options that are presently exercisable or exercisable within 60 days of March 20, 2015.</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22,000 shares of common stock subject to options that are presently exercisable or exercisable within 60 days of March 20, 2015.</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20, 2015.</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2,000 shares of common stock subject to options that are presently exercisable or exercisable within 60 days of March 20,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55,600 shares of common stock subject to options that are presently exercisable or exercisable within 60 days of March 20, 2015.</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20, 2015.</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0" w:name="page21"/>
    <w:bookmarkEnd w:id="20"/>
    <w:p>
      <w:pPr>
        <w:ind w:left="460" w:hanging="452"/>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55,600 shares of common stock subject to options that are presently exercisable or exercisable within 60 days of March 20, 2015.</w:t>
      </w:r>
    </w:p>
    <w:p>
      <w:pPr>
        <w:spacing w:after="0" w:line="34" w:lineRule="exact"/>
        <w:rPr>
          <w:rFonts w:ascii="Arial" w:cs="Arial" w:eastAsia="Arial" w:hAnsi="Arial"/>
          <w:sz w:val="17"/>
          <w:szCs w:val="17"/>
          <w:color w:val="auto"/>
        </w:rPr>
      </w:pPr>
    </w:p>
    <w:p>
      <w:pPr>
        <w:ind w:left="460" w:right="2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55,600 shares of common stock subject to options that are presently exercisable or exercisable within 60 days of March 20, 2015 and 5,287 shares of common stock owned by Mr. Werner’s spouse.</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100 shares of common stock owned by Mr. Kennedy’s spouse and 20 shares of common stock owned by Mr. Kennedy’s son.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following table sets forth the number of shares of the Company’s common stock beneficially owned by the only parties known to the Company’s management to own more than 5% of the Company’s common stock, as of March 20, 2015 and based on 19,050,749 shares of common stock outstanding.</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34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Amount and Nature of</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Beneficial Owner</w:t>
            </w:r>
          </w:p>
        </w:tc>
        <w:tc>
          <w:tcPr>
            <w:tcW w:w="2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20" w:type="dxa"/>
            <w:vAlign w:val="bottom"/>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94"/>
              </w:rPr>
              <w:t>Beneficial Ownership</w:t>
            </w:r>
          </w:p>
        </w:tc>
        <w:tc>
          <w:tcPr>
            <w:tcW w:w="164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Percent of Class</w:t>
            </w: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Dimensional Fund Advisors LP</w:t>
            </w:r>
          </w:p>
        </w:tc>
        <w:tc>
          <w:tcPr>
            <w:tcW w:w="13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Building One</w:t>
            </w: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6300 Bee Cave Road</w:t>
            </w: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Austin, TX 78746</w:t>
            </w:r>
          </w:p>
        </w:tc>
        <w:tc>
          <w:tcPr>
            <w:tcW w:w="3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1,490,160(1)</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w:t>
            </w: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Royce &amp; Associates, LLC</w:t>
            </w: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745 Fifth Avenue</w:t>
            </w: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New York, NY 10151</w:t>
            </w:r>
          </w:p>
        </w:tc>
        <w:tc>
          <w:tcPr>
            <w:tcW w:w="3400" w:type="dxa"/>
            <w:vAlign w:val="bottom"/>
            <w:gridSpan w:val="3"/>
          </w:tcPr>
          <w:p>
            <w:pPr>
              <w:jc w:val="right"/>
              <w:ind w:right="420"/>
              <w:spacing w:after="0"/>
              <w:rPr>
                <w:sz w:val="20"/>
                <w:szCs w:val="20"/>
                <w:color w:val="auto"/>
              </w:rPr>
            </w:pPr>
            <w:r>
              <w:rPr>
                <w:rFonts w:ascii="Arial" w:cs="Arial" w:eastAsia="Arial" w:hAnsi="Arial"/>
                <w:sz w:val="18"/>
                <w:szCs w:val="18"/>
                <w:color w:val="auto"/>
              </w:rPr>
              <w:t>1,311,300(2)</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6.88%</w:t>
            </w: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BlackRock, Inc.</w:t>
            </w:r>
          </w:p>
        </w:tc>
        <w:tc>
          <w:tcPr>
            <w:tcW w:w="1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3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1,073,168(3)</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r>
    </w:tbl>
    <w:p>
      <w:pPr>
        <w:spacing w:after="0" w:line="229" w:lineRule="exact"/>
        <w:rPr>
          <w:sz w:val="20"/>
          <w:szCs w:val="20"/>
          <w:color w:val="auto"/>
        </w:rPr>
      </w:pPr>
    </w:p>
    <w:p>
      <w:pPr>
        <w:ind w:left="460" w:hanging="452"/>
        <w:spacing w:after="0" w:line="29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 based on Schedule 13G filed on February 5, 2015 with the SEC by Dimensional Fund Advisors LP. The Schedule 13G states that Dimensional Fund Advisors LP has sole voting power with respect to 1,437,543 shares and sole dispositive power with respect to 1,490,160 shares.</w:t>
      </w:r>
    </w:p>
    <w:p>
      <w:pPr>
        <w:ind w:left="460" w:right="70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based on Schedule 13G filed on January 15, 2015 with the SEC by Royce &amp; Associates LLC. The Schedule 13G states that Royce &amp; Associates LLC has sole voting power and sole dispositive power with respect to 1,311,300 shares.</w:t>
      </w:r>
    </w:p>
    <w:p>
      <w:pPr>
        <w:ind w:left="460" w:right="24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based on Schedule 13G filed on February 2, 2015 with the SEC by BlackRock, Inc. The Schedule 13G states that BlackRock, Inc., has sole voting power with respect to 1,040,644 shares and sole dispositive power with respect to 1,073,168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solely on its review of the copies of these reports furnished to the Company for the year ended December 31, 2014, the Company is not aware of any instance of noncompliance with Section 16(a) by its directors, executive officers or owners of more than 10% of the common stock, except that</w:t>
      </w:r>
    </w:p>
    <w:p>
      <w:pPr>
        <w:ind w:right="440"/>
        <w:spacing w:after="0" w:line="261" w:lineRule="auto"/>
        <w:rPr>
          <w:sz w:val="20"/>
          <w:szCs w:val="20"/>
          <w:color w:val="auto"/>
        </w:rPr>
      </w:pPr>
      <w:r>
        <w:rPr>
          <w:rFonts w:ascii="Arial" w:cs="Arial" w:eastAsia="Arial" w:hAnsi="Arial"/>
          <w:sz w:val="18"/>
          <w:szCs w:val="18"/>
          <w:color w:val="auto"/>
        </w:rPr>
        <w:t>Mr. Frank T. Gentry, III, our former Senior Vice President — Managing Director, Metal Bearing Components, filed a late Form 4 reporting two exempt transactions.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II: Advisory Vote to Approve Executive Compensation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At the 2011 Annual Meeting, stockholders expressed their strong preference for an annual advisory vote to approve executive compensation. Accordingly, the Board determined that, every year until the next vote on the frequency of such advisory vote, the Company will hold a vote to approve the Company’s executive compensation on an advisory basis. As such, the Board is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21" w:name="page22"/>
    <w:bookmarkEnd w:id="2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asking stockholders to vote on an advisory resolution to approve our executive compensation as reported in this Proxy Statement. As described in the “Compensation Discussion and Analysis” section of this Proxy Statement, the Company’s goal is to structure its compensation arrangements for executive officers in a manner that will promote the Company’s profitability and enhance long-term stockholder value. In designing its compensation arrangements to achieve this goal, the Company is guided by the following objectives:</w:t>
      </w:r>
    </w:p>
    <w:p>
      <w:pPr>
        <w:spacing w:after="0" w:line="9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the long-term success of the Company;</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the Company’s competitors;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the Company’s and the individual’s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directly aligning the interests of management with the interests of the stockholders through stock-based compensation arrangements.</w:t>
      </w:r>
    </w:p>
    <w:p>
      <w:pPr>
        <w:spacing w:after="0" w:line="23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Stockholders are urged to read the “Compensation Discussion and Analysis” beginning on page 16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25 through 29, which provide detailed information on the compensation of our named executive officers.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the Company’s recent and long-term success.</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accordance with Section 14A of the Securities Exchange Act of 1934, as amended, or the “Exchange Act,” and as a matter of good corporate governance, the Company is asking stockholders to approve the following advisory resolution at the Annual Meeting:</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RESOLVED, that the stockholders of NN, Inc.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2015 Annual Meeting of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BOARD OF DIRECTORS RECOMMENDS YOU VOTE “FOR” THE ADVISORY RESOLUTION TO APPROVE EXECUTIVE COMPENSATION.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Compensation Discussion and Analysis provides a detailed discussion of our executive compensation objectives, philosophy, policies and procedures, the compensation decisions the Compensation Committee has made under those programs and the factors considered in making those decisions. Our Compensation Discussion and Analysis focuses on the compensation of our “named executive officers” for 2014, who were: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Name</w:t>
            </w:r>
          </w:p>
        </w:tc>
        <w:tc>
          <w:tcPr>
            <w:tcW w:w="18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6020" w:type="dxa"/>
            <w:vAlign w:val="bottom"/>
          </w:tcPr>
          <w:p>
            <w:pPr>
              <w:spacing w:after="0"/>
              <w:rPr>
                <w:sz w:val="14"/>
                <w:szCs w:val="14"/>
                <w:color w:val="auto"/>
              </w:rPr>
            </w:pPr>
          </w:p>
        </w:tc>
      </w:tr>
      <w:tr>
        <w:trPr>
          <w:trHeight w:val="195"/>
        </w:trPr>
        <w:tc>
          <w:tcPr>
            <w:tcW w:w="2180" w:type="dxa"/>
            <w:vAlign w:val="bottom"/>
            <w:gridSpan w:val="2"/>
          </w:tcPr>
          <w:p>
            <w:pPr>
              <w:spacing w:after="0" w:line="195" w:lineRule="exact"/>
              <w:rPr>
                <w:sz w:val="20"/>
                <w:szCs w:val="20"/>
                <w:color w:val="auto"/>
              </w:rPr>
            </w:pPr>
            <w:r>
              <w:rPr>
                <w:rFonts w:ascii="Arial" w:cs="Arial" w:eastAsia="Arial" w:hAnsi="Arial"/>
                <w:sz w:val="18"/>
                <w:szCs w:val="18"/>
                <w:color w:val="auto"/>
              </w:rPr>
              <w:t>Richard D. Holder</w:t>
            </w:r>
          </w:p>
        </w:tc>
        <w:tc>
          <w:tcPr>
            <w:tcW w:w="6300" w:type="dxa"/>
            <w:vAlign w:val="bottom"/>
            <w:gridSpan w:val="2"/>
          </w:tcPr>
          <w:p>
            <w:pPr>
              <w:spacing w:after="0" w:line="195" w:lineRule="exact"/>
              <w:rPr>
                <w:sz w:val="20"/>
                <w:szCs w:val="20"/>
                <w:color w:val="auto"/>
              </w:rPr>
            </w:pPr>
            <w:r>
              <w:rPr>
                <w:rFonts w:ascii="Arial" w:cs="Arial" w:eastAsia="Arial" w:hAnsi="Arial"/>
                <w:sz w:val="18"/>
                <w:szCs w:val="18"/>
                <w:color w:val="auto"/>
              </w:rPr>
              <w:t>Director, President and Chief Executive Officer (nominee)</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6300" w:type="dxa"/>
            <w:vAlign w:val="bottom"/>
            <w:gridSpan w:val="2"/>
          </w:tcPr>
          <w:p>
            <w:pPr>
              <w:spacing w:after="0"/>
              <w:rPr>
                <w:sz w:val="20"/>
                <w:szCs w:val="20"/>
                <w:color w:val="auto"/>
              </w:rPr>
            </w:pPr>
            <w:r>
              <w:rPr>
                <w:rFonts w:ascii="Arial" w:cs="Arial" w:eastAsia="Arial" w:hAnsi="Arial"/>
                <w:sz w:val="18"/>
                <w:szCs w:val="18"/>
                <w:color w:val="auto"/>
              </w:rPr>
              <w:t>Senior Vice President – Chief Financial Officer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Frank T. Gentry, III</w:t>
            </w:r>
          </w:p>
        </w:tc>
        <w:tc>
          <w:tcPr>
            <w:tcW w:w="6300" w:type="dxa"/>
            <w:vAlign w:val="bottom"/>
            <w:gridSpan w:val="2"/>
          </w:tcPr>
          <w:p>
            <w:pPr>
              <w:spacing w:after="0"/>
              <w:rPr>
                <w:sz w:val="20"/>
                <w:szCs w:val="20"/>
                <w:color w:val="auto"/>
              </w:rPr>
            </w:pPr>
            <w:r>
              <w:rPr>
                <w:rFonts w:ascii="Arial" w:cs="Arial" w:eastAsia="Arial" w:hAnsi="Arial"/>
                <w:sz w:val="18"/>
                <w:szCs w:val="18"/>
                <w:color w:val="auto"/>
              </w:rPr>
              <w:t>Senior Vice President – Managing Director, Metal Bearing Components</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James R. Widders</w:t>
            </w:r>
          </w:p>
        </w:tc>
        <w:tc>
          <w:tcPr>
            <w:tcW w:w="6300" w:type="dxa"/>
            <w:vAlign w:val="bottom"/>
            <w:gridSpan w:val="2"/>
          </w:tcPr>
          <w:p>
            <w:pPr>
              <w:spacing w:after="0"/>
              <w:rPr>
                <w:sz w:val="20"/>
                <w:szCs w:val="20"/>
                <w:color w:val="auto"/>
              </w:rPr>
            </w:pPr>
            <w:r>
              <w:rPr>
                <w:rFonts w:ascii="Arial" w:cs="Arial" w:eastAsia="Arial" w:hAnsi="Arial"/>
                <w:sz w:val="18"/>
                <w:szCs w:val="18"/>
                <w:color w:val="auto"/>
              </w:rPr>
              <w:t>Senior Vice President – Integration and Corporate Transformation</w:t>
            </w: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William C. Kelly, Jr.</w:t>
            </w:r>
          </w:p>
        </w:tc>
        <w:tc>
          <w:tcPr>
            <w:tcW w:w="6300" w:type="dxa"/>
            <w:vAlign w:val="bottom"/>
            <w:gridSpan w:val="2"/>
          </w:tcPr>
          <w:p>
            <w:pPr>
              <w:spacing w:after="0"/>
              <w:rPr>
                <w:sz w:val="20"/>
                <w:szCs w:val="20"/>
                <w:color w:val="auto"/>
              </w:rPr>
            </w:pPr>
            <w:r>
              <w:rPr>
                <w:rFonts w:ascii="Arial" w:cs="Arial" w:eastAsia="Arial" w:hAnsi="Arial"/>
                <w:sz w:val="18"/>
                <w:szCs w:val="18"/>
                <w:color w:val="auto"/>
                <w:w w:val="92"/>
              </w:rPr>
              <w:t>Vice President – Chief Administrative Officer, Chief Compliance Officer and Secretary</w:t>
            </w:r>
          </w:p>
        </w:tc>
      </w:tr>
      <w:tr>
        <w:trPr>
          <w:trHeight w:val="365"/>
        </w:trPr>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300" w:type="dxa"/>
            <w:vAlign w:val="bottom"/>
            <w:gridSpan w:val="2"/>
          </w:tcPr>
          <w:p>
            <w:pPr>
              <w:ind w:left="34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80"/>
          </w:cols>
          <w:pgMar w:left="240" w:top="274" w:right="379" w:bottom="1440" w:gutter="0" w:footer="0" w:header="0"/>
        </w:sectPr>
      </w:pPr>
    </w:p>
    <w:bookmarkStart w:id="22" w:name="page23"/>
    <w:bookmarkEnd w:id="22"/>
    <w:p>
      <w:pPr>
        <w:ind w:right="2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compensation philosophy is to reward both short-term financial and operational successes and efforts that support long-term value creation. The following are the objectives of our compensation program:</w:t>
      </w:r>
    </w:p>
    <w:p>
      <w:pPr>
        <w:spacing w:after="0" w:line="7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our competitors;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the Company’s and the individual’s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directly aligning the interests of management with the interests of our stockholders through stock-based compensation arrangements.</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designed our compensation programs to reflect each of these objectives. In 2014, our named executive officers received a compensation package that consists of an annual base salary, non-equity incentive award opportunities and long-term equity incentive award opportunities. The components of our compensation that are tied to performance seek to reward both short-term and long-term results and to align the interests of our named executive officers and other participants with the interests of our stockholders. Our compensation programs are structured to motivate and reward our executives to increase shareholder value and provide balanced incentives for achieving both short-term and long-term objectives without incentivizing executives to take excessive risks.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Achievements and Value Creation</w:t>
      </w:r>
    </w:p>
    <w:p>
      <w:pPr>
        <w:spacing w:after="0" w:line="252"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January 2014:</w:t>
      </w:r>
      <w:r>
        <w:rPr>
          <w:sz w:val="20"/>
          <w:szCs w:val="20"/>
          <w:color w:val="auto"/>
        </w:rPr>
        <w:tab/>
      </w:r>
      <w:r>
        <w:rPr>
          <w:rFonts w:ascii="Arial" w:cs="Arial" w:eastAsia="Arial" w:hAnsi="Arial"/>
          <w:sz w:val="16"/>
          <w:szCs w:val="16"/>
          <w:color w:val="auto"/>
        </w:rPr>
        <w:t>Presented our strategic plan with goals to double revenue and triple earnings per share by 2018</w:t>
      </w:r>
    </w:p>
    <w:p>
      <w:pPr>
        <w:spacing w:after="0" w:line="117"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January 2014:</w:t>
      </w:r>
      <w:r>
        <w:rPr>
          <w:sz w:val="20"/>
          <w:szCs w:val="20"/>
          <w:color w:val="auto"/>
        </w:rPr>
        <w:tab/>
      </w:r>
      <w:r>
        <w:rPr>
          <w:rFonts w:ascii="Arial" w:cs="Arial" w:eastAsia="Arial" w:hAnsi="Arial"/>
          <w:sz w:val="16"/>
          <w:szCs w:val="16"/>
          <w:color w:val="auto"/>
        </w:rPr>
        <w:t>Acquired V-S Industries, a high precision manufacturer with locations in Illinois and Mexico</w:t>
      </w:r>
    </w:p>
    <w:p>
      <w:pPr>
        <w:spacing w:after="0" w:line="117"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June 2014:</w:t>
      </w:r>
      <w:r>
        <w:rPr>
          <w:sz w:val="20"/>
          <w:szCs w:val="20"/>
          <w:color w:val="auto"/>
        </w:rPr>
        <w:tab/>
      </w:r>
      <w:r>
        <w:rPr>
          <w:rFonts w:ascii="Arial" w:cs="Arial" w:eastAsia="Arial" w:hAnsi="Arial"/>
          <w:sz w:val="16"/>
          <w:szCs w:val="16"/>
          <w:color w:val="auto"/>
        </w:rPr>
        <w:t>Acquired RFK, a tapered roller manufacturer with operations in Bosnia and Herzegovina</w:t>
      </w:r>
    </w:p>
    <w:p>
      <w:pPr>
        <w:spacing w:after="0" w:line="117"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July 2014:</w:t>
      </w:r>
      <w:r>
        <w:rPr>
          <w:sz w:val="20"/>
          <w:szCs w:val="20"/>
          <w:color w:val="auto"/>
        </w:rPr>
        <w:tab/>
      </w:r>
      <w:r>
        <w:rPr>
          <w:rFonts w:ascii="Arial" w:cs="Arial" w:eastAsia="Arial" w:hAnsi="Arial"/>
          <w:sz w:val="16"/>
          <w:szCs w:val="16"/>
          <w:color w:val="auto"/>
        </w:rPr>
        <w:t>Acquired Chelsea Grinding Company, a cylindrical roller manufacturer</w:t>
      </w:r>
    </w:p>
    <w:p>
      <w:pPr>
        <w:spacing w:after="0" w:line="117"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August 2014:</w:t>
      </w:r>
      <w:r>
        <w:rPr>
          <w:sz w:val="20"/>
          <w:szCs w:val="20"/>
          <w:color w:val="auto"/>
        </w:rPr>
        <w:tab/>
      </w:r>
      <w:r>
        <w:rPr>
          <w:rFonts w:ascii="Arial" w:cs="Arial" w:eastAsia="Arial" w:hAnsi="Arial"/>
          <w:sz w:val="16"/>
          <w:szCs w:val="16"/>
          <w:color w:val="auto"/>
        </w:rPr>
        <w:t>Acquired Autocam Corporation, a high precision manufacturer with locations on four continents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2014 Named Executive Officers’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indicates the base salaries from the prior year for our named executive officers: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400" w:type="dxa"/>
            <w:vAlign w:val="bottom"/>
            <w:vMerge w:val="restart"/>
          </w:tcPr>
          <w:p>
            <w:pPr>
              <w:spacing w:after="0"/>
              <w:rPr>
                <w:sz w:val="14"/>
                <w:szCs w:val="14"/>
                <w:color w:val="auto"/>
              </w:rPr>
            </w:pPr>
          </w:p>
        </w:tc>
        <w:tc>
          <w:tcPr>
            <w:tcW w:w="4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2014 Base Salary</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3900" w:type="dxa"/>
            <w:vAlign w:val="bottom"/>
            <w:gridSpan w:val="2"/>
          </w:tcPr>
          <w:p>
            <w:pPr>
              <w:jc w:val="right"/>
              <w:ind w:right="350"/>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28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315,000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Mr. Widders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Kelly</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Non-Equity Incentive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annual non-equity incentive compensation is intended to compensate executive officers for achieving our annual financial and organizational goals.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earned the following non-equity incentive compensation in 2014:</w:t>
      </w: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2014 Non-Equity Incentive Compensation(1)</w:t>
      </w:r>
    </w:p>
    <w:p>
      <w:pPr>
        <w:spacing w:after="0" w:line="24" w:lineRule="exact"/>
        <w:rPr>
          <w:sz w:val="20"/>
          <w:szCs w:val="20"/>
          <w:color w:val="auto"/>
        </w:rPr>
      </w:pPr>
    </w:p>
    <w:tbl>
      <w:tblPr>
        <w:tblLayout w:type="fixed"/>
        <w:tblInd w:w="1380" w:type="dxa"/>
        <w:tblCellMar>
          <w:top w:w="0" w:type="dxa"/>
          <w:left w:w="0" w:type="dxa"/>
          <w:bottom w:w="0" w:type="dxa"/>
          <w:right w:w="0" w:type="dxa"/>
        </w:tblCellMar>
      </w:tblPr>
      <w:tr>
        <w:trPr>
          <w:trHeight w:val="119"/>
        </w:trPr>
        <w:tc>
          <w:tcPr>
            <w:tcW w:w="3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20" w:type="dxa"/>
            <w:vAlign w:val="bottom"/>
            <w:tcBorders>
              <w:top w:val="single" w:sz="8" w:color="auto"/>
            </w:tcBorders>
            <w:vMerge w:val="restart"/>
          </w:tcPr>
          <w:p>
            <w:pPr>
              <w:spacing w:after="0"/>
              <w:rPr>
                <w:sz w:val="10"/>
                <w:szCs w:val="10"/>
                <w:color w:val="auto"/>
              </w:rPr>
            </w:pPr>
          </w:p>
        </w:tc>
        <w:tc>
          <w:tcPr>
            <w:tcW w:w="34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Cash 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7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Percent of 2014</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34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3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23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gridSpan w:val="2"/>
            <w:vMerge w:val="continue"/>
            <w:shd w:val="clear" w:color="auto" w:fill="CCEEFF"/>
          </w:tcPr>
          <w:p>
            <w:pPr>
              <w:spacing w:after="0"/>
              <w:rPr>
                <w:sz w:val="17"/>
                <w:szCs w:val="17"/>
                <w:color w:val="auto"/>
              </w:rPr>
            </w:pPr>
          </w:p>
        </w:tc>
        <w:tc>
          <w:tcPr>
            <w:tcW w:w="238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82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217,060</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167,727</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Mr. Widders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161,762</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Kelly</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124,574</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8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Generally, non-equity incentive compensation earned in one fiscal year is paid in the first quarter of the next year. Bonuses and non-equity incentive compensation earned during 2014 were paid in March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equity-based compensation programs provide for longer-term incentives that both align executive officer performance with our long-term goals and offer a retention component to our compensation package. Under our 2005 Stock Incentive Plan and our 2011 Stock Incentive Plan, our named executive officers received the following awards in 2014:</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180" w:type="dxa"/>
            <w:vAlign w:val="bottom"/>
            <w:vMerge w:val="restart"/>
          </w:tcPr>
          <w:p>
            <w:pPr>
              <w:spacing w:after="0"/>
              <w:rPr>
                <w:sz w:val="14"/>
                <w:szCs w:val="14"/>
                <w:color w:val="auto"/>
              </w:rPr>
            </w:pPr>
          </w:p>
        </w:tc>
        <w:tc>
          <w:tcPr>
            <w:tcW w:w="122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1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90"/>
        </w:trPr>
        <w:tc>
          <w:tcPr>
            <w:tcW w:w="6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Mr. Holder</w:t>
            </w:r>
          </w:p>
        </w:tc>
        <w:tc>
          <w:tcPr>
            <w:tcW w:w="4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tcPr>
          <w:p>
            <w:pPr>
              <w:spacing w:after="0" w:line="201" w:lineRule="exact"/>
              <w:rPr>
                <w:sz w:val="20"/>
                <w:szCs w:val="20"/>
                <w:color w:val="auto"/>
              </w:rPr>
            </w:pPr>
            <w:r>
              <w:rPr>
                <w:rFonts w:ascii="Arial" w:cs="Arial" w:eastAsia="Arial" w:hAnsi="Arial"/>
                <w:sz w:val="18"/>
                <w:szCs w:val="18"/>
                <w:color w:val="auto"/>
              </w:rPr>
              <w:t>Mr. Dorton</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Restricted Stock (1)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Options (1)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tcPr>
          <w:p>
            <w:pPr>
              <w:spacing w:after="0" w:line="201" w:lineRule="exact"/>
              <w:rPr>
                <w:sz w:val="20"/>
                <w:szCs w:val="20"/>
                <w:color w:val="auto"/>
              </w:rPr>
            </w:pPr>
            <w:r>
              <w:rPr>
                <w:rFonts w:ascii="Arial" w:cs="Arial" w:eastAsia="Arial" w:hAnsi="Arial"/>
                <w:sz w:val="18"/>
                <w:szCs w:val="18"/>
                <w:color w:val="auto"/>
              </w:rPr>
              <w:t>Mr. Widders</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Restricted Stock (1)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Options (1)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Kelly</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33.33% of award vests each year starting in March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2014 Say on Pay Analysis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2014, we held an annual advisory vote to approve named executive officer compensation, commonly known as “Say on Pay”. Although a majority of our stockholders voted in favor of our compensation program, the results were below what we deem satisfactory. The primary reason for our Say on Pay results relate to the employment agreement we entered into with our Chief Executive Officer, Mr. Holder, in 2013. Mr. Holder’s employment agreement is based on the same form of employment agreement that we have with each of our named executive officers. Those agreements were amended in 2012, and included a tax reimbursement provision, or tax gross up, for each of our executive officers. The tax gross up provisions included in the form employment agreement were legacy provisions and were included in these executive’s original agreements executed in 2006. Because of the tax gross up provision included in the agreement for Mr. Holder, certain of the proxy advisory firms recommended a no vote on our Say on Pay.</w:t>
      </w:r>
    </w:p>
    <w:p>
      <w:pPr>
        <w:spacing w:after="0" w:line="17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tax gross up provisions in the employment agreements of our other executive officers were not objected to by the proxy advisory firms because they were deemed to be “grandfathered” in; that is, they were enacted prior to the change in view of the proxy advisory firms. Based on discussions we had with stockholders in 2014, we learned that the Say on Pay vote expressed their judgment as to one component of our compensation program (the tax gross up in Mr. Holder’s employment agreement) as opposed to expressing judgment on our compensation program as a whole. Based on our analysis of the structure and formulas contained in the employment agreements, and with assistance from our compensation consultant, we have determined that it is unlikely that the tax gross up provisions in these agreements will ever actually be triggered. One reason for the unlikely applicability of the tax gross up provisions is the relatively small cash severance benefit provided to Mr. Holder in the event of a change in control and a termination of employment. When casting your 2015 Say on Pay vote, we encourage you to consider these matters and to judge our compensation program as a whole, rather than based on one single component.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structure our executive compensation arrangements in order to encourage executives to take appropriate risks designed to enhance our short-term performance and increase long-term stockholder value. We believe that providing a balanced mix of stock-based and cash compensation arrangements tied to both Company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 on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specific elements of compensation:</w:t>
      </w:r>
    </w:p>
    <w:p>
      <w:pPr>
        <w:spacing w:after="0" w:line="131" w:lineRule="exact"/>
        <w:rPr>
          <w:sz w:val="20"/>
          <w:szCs w:val="20"/>
          <w:color w:val="auto"/>
        </w:rPr>
      </w:pPr>
    </w:p>
    <w:p>
      <w:pPr>
        <w:ind w:left="900" w:right="8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 does not encourage risk-taking as it is a fixed amount and but one component of a balanced, multi-component approach to compensation and rewards.</w:t>
      </w:r>
    </w:p>
    <w:p>
      <w:pPr>
        <w:spacing w:after="0" w:line="75" w:lineRule="exact"/>
        <w:rPr>
          <w:rFonts w:ascii="Arial" w:cs="Arial" w:eastAsia="Arial" w:hAnsi="Arial"/>
          <w:sz w:val="18"/>
          <w:szCs w:val="18"/>
          <w:color w:val="auto"/>
        </w:rPr>
      </w:pPr>
    </w:p>
    <w:p>
      <w:pPr>
        <w:ind w:left="900" w:right="200" w:hanging="325"/>
        <w:spacing w:after="0" w:line="31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non-equity incentive compensation for executive officers is designed to reward achievement of short-term performance metrics. Through a combination of plan design and management procedures, undue risk-taking is mitigated. The plan is also structured to be self-funding in that portions of the incentive that are based on performance measurements must be obtained after the expense of the incentive is considered.</w:t>
      </w:r>
    </w:p>
    <w:p>
      <w:pPr>
        <w:spacing w:after="0" w:line="52" w:lineRule="exact"/>
        <w:rPr>
          <w:rFonts w:ascii="Arial" w:cs="Arial" w:eastAsia="Arial" w:hAnsi="Arial"/>
          <w:sz w:val="16"/>
          <w:szCs w:val="16"/>
          <w:color w:val="auto"/>
        </w:rPr>
      </w:pPr>
    </w:p>
    <w:p>
      <w:pPr>
        <w:ind w:left="900" w:right="100" w:hanging="325"/>
        <w:spacing w:after="0" w:line="31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Awards under our long 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Policies and Practices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Below, we summarize certain executive compensation practices, both the practices we have implemented to drive performance and the practices we have not implemented because we do not believe they would serve our stockholders’ long-term interest.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5" w:name="page26"/>
    <w:bookmarkEnd w:id="25"/>
    <w:p>
      <w:pPr>
        <w:ind w:left="3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69894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38"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 executive pay with Company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Balance short-term and long-term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Mitigate undue risk in compensation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 vesting periods on equity awards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Utilize an independent compensation consulting firm which provides no other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post-employment/change in control provisions in employment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executive stock ownership guidelines (implemented in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an executive clawback policy (implemented in 2015)</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69894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38"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Reprice underwater stock options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Exchange of underwater stock options for cash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 multi-year guaranteed bonuses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Permit hedging or short-sale transactions by our executive officers and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Pay and Why: Elements of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three elements of total direct compensation: base salary, non-equity incentive compensation and long-term incentive compensation.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pay base salaries to attract talented executives and to provide a fixed base of cash compensation. The salary levels for 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 It is our policy to compensate executives in a targeted range of approximately the 50</w:t>
      </w:r>
      <w:r>
        <w:rPr>
          <w:rFonts w:ascii="Arial" w:cs="Arial" w:eastAsia="Arial" w:hAnsi="Arial"/>
          <w:sz w:val="13"/>
          <w:szCs w:val="13"/>
          <w:color w:val="auto"/>
        </w:rPr>
        <w:t>th</w:t>
      </w:r>
      <w:r>
        <w:rPr>
          <w:rFonts w:ascii="Arial" w:cs="Arial" w:eastAsia="Arial" w:hAnsi="Arial"/>
          <w:sz w:val="16"/>
          <w:szCs w:val="16"/>
          <w:color w:val="auto"/>
        </w:rPr>
        <w:t xml:space="preserve"> percentile of market of total direct compensation.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Generally speaking, there are two situations that may warrant an adjustment to base salary:</w:t>
      </w:r>
    </w:p>
    <w:p>
      <w:pPr>
        <w:spacing w:after="0" w:line="127" w:lineRule="exact"/>
        <w:rPr>
          <w:sz w:val="20"/>
          <w:szCs w:val="20"/>
          <w:color w:val="auto"/>
        </w:rPr>
      </w:pPr>
    </w:p>
    <w:p>
      <w:pPr>
        <w:ind w:left="900" w:right="320" w:hanging="325"/>
        <w:spacing w:after="0" w:line="26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Annual Merit Increases. </w:t>
      </w:r>
      <w:r>
        <w:rPr>
          <w:rFonts w:ascii="Arial" w:cs="Arial" w:eastAsia="Arial" w:hAnsi="Arial"/>
          <w:sz w:val="18"/>
          <w:szCs w:val="18"/>
          <w:color w:val="auto"/>
        </w:rPr>
        <w:t>All base salaries are reviewed annually for possible merit increases, but merit increases are not automatic or</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Any adjustments take into account the individual’s performance, responsibilities and experience, as well as fairness and external market practices.</w:t>
      </w:r>
    </w:p>
    <w:p>
      <w:pPr>
        <w:spacing w:after="0" w:line="81" w:lineRule="exact"/>
        <w:rPr>
          <w:rFonts w:ascii="Arial" w:cs="Arial" w:eastAsia="Arial" w:hAnsi="Arial"/>
          <w:sz w:val="18"/>
          <w:szCs w:val="18"/>
          <w:color w:val="auto"/>
        </w:rPr>
      </w:pPr>
    </w:p>
    <w:p>
      <w:pPr>
        <w:ind w:left="900" w:hanging="325"/>
        <w:spacing w:after="0" w:line="282"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Promotions or Changes in Role. </w:t>
      </w:r>
      <w:r>
        <w:rPr>
          <w:rFonts w:ascii="Arial" w:cs="Arial" w:eastAsia="Arial" w:hAnsi="Arial"/>
          <w:sz w:val="18"/>
          <w:szCs w:val="18"/>
          <w:color w:val="auto"/>
        </w:rPr>
        <w:t>Base salary may be increased to recognize additional responsibilities resulting from a change in an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role or a promotion to a new position. Increases are not guaranteed for a promotion or change in role.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4" w:right="31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indicates the base salaries and percent increases from the prior year for our named executive officers:</w:t>
      </w:r>
    </w:p>
    <w:p>
      <w:pPr>
        <w:spacing w:after="0" w:line="244"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Base Salary</w:t>
      </w:r>
    </w:p>
    <w:p>
      <w:pPr>
        <w:spacing w:after="0" w:line="24"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Name</w:t>
            </w:r>
          </w:p>
        </w:tc>
        <w:tc>
          <w:tcPr>
            <w:tcW w:w="50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 Increase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$500,000</w:t>
            </w:r>
          </w:p>
        </w:tc>
        <w:tc>
          <w:tcPr>
            <w:tcW w:w="3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w w:val="90"/>
              </w:rPr>
              <w:t>$500,000(1)</w:t>
            </w:r>
          </w:p>
        </w:tc>
        <w:tc>
          <w:tcPr>
            <w:tcW w:w="12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$315,000</w:t>
            </w:r>
          </w:p>
        </w:tc>
        <w:tc>
          <w:tcPr>
            <w:tcW w:w="1900" w:type="dxa"/>
            <w:vAlign w:val="bottom"/>
            <w:gridSpan w:val="3"/>
          </w:tcPr>
          <w:p>
            <w:pPr>
              <w:jc w:val="right"/>
              <w:ind w:right="860"/>
              <w:spacing w:after="0"/>
              <w:rPr>
                <w:sz w:val="20"/>
                <w:szCs w:val="20"/>
                <w:color w:val="auto"/>
              </w:rPr>
            </w:pPr>
            <w:r>
              <w:rPr>
                <w:rFonts w:ascii="Arial" w:cs="Arial" w:eastAsia="Arial" w:hAnsi="Arial"/>
                <w:sz w:val="18"/>
                <w:szCs w:val="18"/>
                <w:color w:val="auto"/>
              </w:rPr>
              <w:t>$315,000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10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$315,000</w:t>
            </w:r>
          </w:p>
        </w:tc>
        <w:tc>
          <w:tcPr>
            <w:tcW w:w="19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$315,000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Mr. Widders</w:t>
            </w: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$230,000</w:t>
            </w:r>
          </w:p>
        </w:tc>
        <w:tc>
          <w:tcPr>
            <w:tcW w:w="1900" w:type="dxa"/>
            <w:vAlign w:val="bottom"/>
            <w:gridSpan w:val="3"/>
          </w:tcPr>
          <w:p>
            <w:pPr>
              <w:jc w:val="right"/>
              <w:ind w:right="860"/>
              <w:spacing w:after="0"/>
              <w:rPr>
                <w:sz w:val="20"/>
                <w:szCs w:val="20"/>
                <w:color w:val="auto"/>
              </w:rPr>
            </w:pPr>
            <w:r>
              <w:rPr>
                <w:rFonts w:ascii="Arial" w:cs="Arial" w:eastAsia="Arial" w:hAnsi="Arial"/>
                <w:sz w:val="18"/>
                <w:szCs w:val="18"/>
                <w:color w:val="auto"/>
              </w:rPr>
              <w:t>$227,536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Kelly</w:t>
            </w:r>
          </w:p>
        </w:tc>
        <w:tc>
          <w:tcPr>
            <w:tcW w:w="10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$210,000</w:t>
            </w:r>
          </w:p>
        </w:tc>
        <w:tc>
          <w:tcPr>
            <w:tcW w:w="19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$207,308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Base Salary on an annualized basis. Mr. Holder was paid $278,846 for Base Salary in 2013 during the period beginning with the start of his employment on June 3, 2013 and ending on December 31, 2013.</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2014, we determined to hold the salaries of our executive officers steady (other than for some small increases) in light of the fact that our new Chief Executive Officer had just come on board in June 2013 and we had just launched our strategic plan. At that time, we decided to readdress salaries in 2015 based on the success of our management team in implementing the strategic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Compensation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pay annual incentives to drive the achievement of key business results and to recognize individuals based on their contributions to those results. The Compensation Committee believes that this feature of compensation motivates executive officers to strive to attain our annual goals. At the beginning of each fiscal year, the Compensation Committee establishes objectives for the upcoming fiscal year which are tied to our success in achieving our strategic plan. These goals include the following:</w:t>
      </w:r>
    </w:p>
    <w:p>
      <w:pPr>
        <w:spacing w:after="0" w:line="88"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Financial Goals</w:t>
      </w:r>
      <w:r>
        <w:rPr>
          <w:rFonts w:ascii="Arial" w:cs="Arial" w:eastAsia="Arial" w:hAnsi="Arial"/>
          <w:sz w:val="18"/>
          <w:szCs w:val="18"/>
          <w:color w:val="auto"/>
        </w:rPr>
        <w:t>: Achieve the Company’s annual business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Operational Excellence</w:t>
      </w:r>
      <w:r>
        <w:rPr>
          <w:rFonts w:ascii="Arial" w:cs="Arial" w:eastAsia="Arial" w:hAnsi="Arial"/>
          <w:sz w:val="18"/>
          <w:szCs w:val="18"/>
          <w:color w:val="auto"/>
        </w:rPr>
        <w:t>: Workplace safety; maintain and improve product quality; improve on-time delivery of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Functional Excellence</w:t>
      </w:r>
      <w:r>
        <w:rPr>
          <w:rFonts w:ascii="Arial" w:cs="Arial" w:eastAsia="Arial" w:hAnsi="Arial"/>
          <w:sz w:val="17"/>
          <w:szCs w:val="17"/>
          <w:color w:val="auto"/>
        </w:rPr>
        <w:t>: Attract and develop talent; improve internal controls; successfully source, execute and integrate 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each named executive officer’s 2014 target award percentage, and the actual awards made: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Target Award</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Target Award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Actual Award as a %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80" w:type="dxa"/>
            <w:vAlign w:val="bottom"/>
            <w:vMerge w:val="restart"/>
          </w:tcPr>
          <w:p>
            <w:pPr>
              <w:spacing w:after="0"/>
              <w:rPr>
                <w:sz w:val="12"/>
                <w:szCs w:val="12"/>
                <w:color w:val="auto"/>
              </w:rPr>
            </w:pPr>
          </w:p>
        </w:tc>
        <w:tc>
          <w:tcPr>
            <w:tcW w:w="22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Opportunity as a % of</w:t>
            </w:r>
          </w:p>
        </w:tc>
        <w:tc>
          <w:tcPr>
            <w:tcW w:w="12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Actual Award</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Target Award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224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12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Opportunity</w:t>
            </w:r>
          </w:p>
        </w:tc>
        <w:tc>
          <w:tcPr>
            <w:tcW w:w="380" w:type="dxa"/>
            <w:vAlign w:val="bottom"/>
          </w:tcPr>
          <w:p>
            <w:pPr>
              <w:spacing w:after="0"/>
              <w:rPr>
                <w:sz w:val="13"/>
                <w:szCs w:val="13"/>
                <w:color w:val="auto"/>
              </w:rPr>
            </w:pPr>
          </w:p>
        </w:tc>
        <w:tc>
          <w:tcPr>
            <w:tcW w:w="1620" w:type="dxa"/>
            <w:vAlign w:val="bottom"/>
            <w:gridSpan w:val="3"/>
            <w:vMerge w:val="continue"/>
          </w:tcPr>
          <w:p>
            <w:pPr>
              <w:spacing w:after="0"/>
              <w:rPr>
                <w:sz w:val="13"/>
                <w:szCs w:val="13"/>
                <w:color w:val="auto"/>
              </w:rPr>
            </w:pPr>
          </w:p>
        </w:tc>
        <w:tc>
          <w:tcPr>
            <w:tcW w:w="16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Opportunity</w:t>
            </w:r>
          </w:p>
        </w:tc>
        <w:tc>
          <w:tcPr>
            <w:tcW w:w="0" w:type="dxa"/>
            <w:vAlign w:val="bottom"/>
          </w:tcPr>
          <w:p>
            <w:pPr>
              <w:spacing w:after="0"/>
              <w:rPr>
                <w:sz w:val="1"/>
                <w:szCs w:val="1"/>
                <w:color w:val="auto"/>
              </w:rPr>
            </w:pPr>
          </w:p>
        </w:tc>
      </w:tr>
      <w:tr>
        <w:trPr>
          <w:trHeight w:val="20"/>
        </w:trPr>
        <w:tc>
          <w:tcPr>
            <w:tcW w:w="3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13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2"/>
            <w:vMerge w:val="continue"/>
            <w:shd w:val="clear" w:color="auto" w:fill="CCEEFF"/>
          </w:tcPr>
          <w:p>
            <w:pPr>
              <w:spacing w:after="0"/>
              <w:rPr>
                <w:sz w:val="17"/>
                <w:szCs w:val="17"/>
                <w:color w:val="auto"/>
              </w:rPr>
            </w:pPr>
          </w:p>
        </w:tc>
        <w:tc>
          <w:tcPr>
            <w:tcW w:w="224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400,000</w:t>
            </w:r>
          </w:p>
        </w:tc>
        <w:tc>
          <w:tcPr>
            <w:tcW w:w="40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500,000</w:t>
            </w:r>
          </w:p>
        </w:tc>
        <w:tc>
          <w:tcPr>
            <w:tcW w:w="780" w:type="dxa"/>
            <w:vAlign w:val="bottom"/>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224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157,500</w:t>
            </w:r>
          </w:p>
        </w:tc>
        <w:tc>
          <w:tcPr>
            <w:tcW w:w="40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217,060</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2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157,500</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167,727</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Mr. Widders</w:t>
            </w:r>
          </w:p>
        </w:tc>
        <w:tc>
          <w:tcPr>
            <w:tcW w:w="224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107,343</w:t>
            </w:r>
          </w:p>
        </w:tc>
        <w:tc>
          <w:tcPr>
            <w:tcW w:w="40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161,762</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Kelly</w:t>
            </w:r>
          </w:p>
        </w:tc>
        <w:tc>
          <w:tcPr>
            <w:tcW w:w="2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94,500</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124,574</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provide performance-based long-term incentive compensation to certain employees, including our named executive officers, to directly tie the interests of these individuals to the interests of our stockholders. We believe that long-term equity compensation is an important retention tool. We also encourage stock ownership which we regard as important for commitment, engagement and motivation. In March 2015, our Board established stock ownership guidelines of five times annual base salary for our Chief Executive Officer, three times annual base salary for our other executive officers and three times the annual retainer of director fees, which acts to further align the interests of our directors and executive officers with those of our stockholders.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7" w:name="page28"/>
    <w:bookmarkEnd w:id="27"/>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 and restricted share grants to our executive officers and other key employees are reviewed and determined annually by the Compensation Committee. With respect to stock options and restricted shares awarded, the Committee considers the following: alignment with the financial interests of our stockholders, recommendations from the independent compensation review, the Chief Executive Officer’s recommendations (other than for himself), our interest in rewarding officers and other key employees for superior performance, and the need for financial incentives for officers and employees to continue to perform in a superior manner.</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time vested stock options and restricted stock are performance-based because their value is solely tied to our stock price, which directly correlates to our stockholders’ interests. We grant stock options and restricted stock for several reasons, including:</w:t>
      </w:r>
    </w:p>
    <w:p>
      <w:pPr>
        <w:spacing w:after="0" w:line="76" w:lineRule="exact"/>
        <w:rPr>
          <w:sz w:val="20"/>
          <w:szCs w:val="20"/>
          <w:color w:val="auto"/>
        </w:rPr>
      </w:pPr>
    </w:p>
    <w:p>
      <w:pPr>
        <w:ind w:left="900" w:right="6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options and restricted stock vests over time and encourage executives to focus on the long term when making decisions to enhance stockholder value;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feedback from executives has indicated that time vested stock options and restricted stock are highly valued and is an important retention tool.</w:t>
      </w:r>
    </w:p>
    <w:p>
      <w:pPr>
        <w:spacing w:after="0" w:line="24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While we do not believe that grants of stock options or restricted stock cause a focus on short-term stock price movements or lead to excessive risk-taking, our compensation policies include risk mitigation features. We have significant stock ownership guidelines to ensure that a significant portion of an executive officers’ net worth is in our common stock and therefore tied to long-term sustainable performance.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During 2014, we awarded 98,000 options and 97,000 shares of restricted shares to five executive officers, six non-employee directors and other key employees.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Pursuant to its charter, the Compensation Committee is authorized to retain and terminate any consultant, as well as to approve the consultant’s fees and other terms of the engagement. The Compensation Committee also has the authority to obtain advice and assistance from internal or external legal, accounting or other advisors. We did not engage a compensation consultant to advise us with respect to our 2014 compensation decisions; however, after obtaining feedback from our institutional stockholders and other key stakeholders, and considering the results of our 2014 Say on Pay vote, the Compensation Committee engaged Towers Watson to advise the Committee on our future compensation decisions. In late 2014, Towers Watson began to review our compensation program, and the Committee has been working with the consultant in 2015 to refine certain elements.</w:t>
      </w:r>
    </w:p>
    <w:p>
      <w:pPr>
        <w:spacing w:after="0" w:line="17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Prior to our engagement of a compensation consultant or any other external advisor, and from time to time as the Committee deems appropriate, the Compensation Committee assesses the independence of such advisor from management, taking into consideration all factors relevant to such advisor’s independence, including the factors specified in the Nasdaq listing standards.</w:t>
      </w:r>
    </w:p>
    <w:p>
      <w:pPr>
        <w:spacing w:after="0" w:line="87"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services provided by the advisor’s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as a percentage of firm revenue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policies and procedures maintained by the advisory firm to prevent or mitigate conflicts of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advisor with a member of the compensation committee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company stock owned by the compensation advisor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advisor with an executive officer of the Company</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Towers Watson has provided the Compensation Committee with appropriate assurances and confirmation of its independent status pursuant to the factors indicated above. The Compensation Committee believes that Towers Watson has been independent throughout its service for the Committee and that Towers Watson does not have any conflicts of interest.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8" w:name="page29"/>
    <w:bookmarkEnd w:id="28"/>
    <w:p>
      <w:pPr>
        <w:ind w:right="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2015, we reviewed our current compensation programs with Tower Watson and determined to change our long term incentive compensation plan to include the issuance of performance share units for the current fiscal year. We are still finalizing the financial performance measurements upon which these units will be based, but we anticipate that those measurements will include return on invested capital and total shareholder return. We believe the addition of performance share units, which will measure performance on a going forward basis over a three year period, will even more closely align the compensation of our executive officers to the creation of long term shareholder value.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Executive Officers</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believe the interests of the Company and its stockholders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the Company’s and the individual’s performance; and directly align the interests of management with the interests of our stockholders through stock-based compensation arrangements.</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To ensure that our compensation policies and practices are competitive with our peers, the Committee analyzes market data regarding base salary, cash bonus awards, equity incentive awards and other benefits paid by companies the Compensation Committee considers the Company’s primary peer group. The Compensation Committee relies on our Vice President of Human Resources and external research to identify the individual companies which make up this group. In identifying the peer group of surveyed companies, our Vice President of Human Resources utilizes the Economic Research Institute, an industry and region specific compensation database, to assemble market data on publicly traded companies having similar industrial characteristics and revenues to that of the Company. The gathered data is then reviewed by our Chief Executive Officer and our Vice President of Human Resources with respect to each of the executive officer positions and adjusted for the scope of responsibilities within the Company as compared to equivalent responsibilities of positions within companies included in the survey data.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decisions regarding compensation of our Chief Executive Officer (“CEO”) are guided by the same policies and considerations that govern compensation of our other executive officers. The CEO’s salary is established and adjusted based upon three factors: individual performance, financial performance of the Company, and peer group and total market data established by compensation studies performed by our Vice President of Human Resources utilizing external research to identify the individual companies which make up this group. In identifying the peer group of surveyed companies, our Vice President of Human Resources utilizes the Economic Research Institute, an industry and region specific compensation database, to assemble market data on publicly traded companies having similar industrial characteristics and revenues to that of the Company.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the our financial performance as compared to our annual business plan and compares the CEO’s compensation to the peer companies at the 50</w:t>
      </w:r>
      <w:r>
        <w:rPr>
          <w:rFonts w:ascii="Arial" w:cs="Arial" w:eastAsia="Arial" w:hAnsi="Arial"/>
          <w:sz w:val="14"/>
          <w:szCs w:val="14"/>
          <w:color w:val="auto"/>
        </w:rPr>
        <w:t>th</w:t>
      </w:r>
      <w:r>
        <w:rPr>
          <w:rFonts w:ascii="Arial" w:cs="Arial" w:eastAsia="Arial" w:hAnsi="Arial"/>
          <w:sz w:val="17"/>
          <w:szCs w:val="17"/>
          <w:color w:val="auto"/>
        </w:rPr>
        <w:t xml:space="preserve"> percentile of market of total direct compensation. Direct compensation is defined as base salary, bonus and awards under the long-term stock incentive plans. Additionally, on an annual basis, the CEO prepares a written succession plan that is reviewed by the Compensation Committee. This plan includes a plan of succession for the CEO and our other executive officers.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Internal Revenue Code Section 162(m)</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Section 162(m) of the Internal Revenue Code of 1986, as amended, precludes any public corporation from taking a deduction for compensation in excess of $1 million paid to its chief executive officer and certain other executive officers. Certain performance-based compensation, however, is exempt from the deduction limit. No formal policy has been adopted with respect to minimizing the risk that compensation paid to its executive officers will exceed the deduction limit. Although the Compensation Committee uses the requirements of Section 162(m) as a guideline, deductibility is not the sole factor it considers in assessing the appropriate levels and types of executive compensation and it will elect to forgo deductibility when it believes it is in the best interests of the Company and our stockholders.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w:t>
      </w:r>
    </w:p>
    <w:p>
      <w:pPr>
        <w:spacing w:after="0" w:line="13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Has reviewed and discussed the section in this Proxy Statement entitled “Compensation Discussion and Analysis” with management; and</w:t>
      </w:r>
    </w:p>
    <w:p>
      <w:pPr>
        <w:spacing w:after="0" w:line="153"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the review and discussions referred to above, the Compensation Committee recommended to the Board that the Compensation Discussion and Analysis be included in this Proxy Statement.</w:t>
      </w:r>
    </w:p>
    <w:p>
      <w:pPr>
        <w:spacing w:after="0" w:line="17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Steven T. Warshaw, Chairman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William Dries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David L. Pugh</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Michael E. Werner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00"/>
          </w:cols>
          <w:pgMar w:left="240" w:top="270" w:right="8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Change in</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equity</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Pension Value</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and Nonqualified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Deferred</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Compen-</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106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16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sation</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Earnings</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18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18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($)(3)</w:t>
            </w:r>
          </w:p>
        </w:tc>
        <w:tc>
          <w:tcPr>
            <w:tcW w:w="180" w:type="dxa"/>
            <w:vAlign w:val="bottom"/>
          </w:tcPr>
          <w:p>
            <w:pPr>
              <w:spacing w:after="0"/>
              <w:rPr>
                <w:sz w:val="15"/>
                <w:szCs w:val="15"/>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)(4)(5)(6)(7)</w:t>
            </w:r>
          </w:p>
        </w:tc>
        <w:tc>
          <w:tcPr>
            <w:tcW w:w="180" w:type="dxa"/>
            <w:vAlign w:val="bottom"/>
          </w:tcPr>
          <w:p>
            <w:pPr>
              <w:spacing w:after="0"/>
              <w:rPr>
                <w:sz w:val="15"/>
                <w:szCs w:val="15"/>
                <w:color w:val="auto"/>
              </w:rPr>
            </w:pPr>
          </w:p>
        </w:tc>
        <w:tc>
          <w:tcPr>
            <w:tcW w:w="78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2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Richard D. Holder</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ind w:left="60"/>
              <w:spacing w:after="0" w:line="171" w:lineRule="exact"/>
              <w:rPr>
                <w:sz w:val="20"/>
                <w:szCs w:val="20"/>
                <w:color w:val="auto"/>
              </w:rPr>
            </w:pPr>
            <w:r>
              <w:rPr>
                <w:rFonts w:ascii="Arial" w:cs="Arial" w:eastAsia="Arial" w:hAnsi="Arial"/>
                <w:sz w:val="18"/>
                <w:szCs w:val="18"/>
                <w:color w:val="auto"/>
                <w:w w:val="84"/>
              </w:rPr>
              <w:t>2014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60"/>
              <w:spacing w:after="0" w:line="171" w:lineRule="exact"/>
              <w:rPr>
                <w:sz w:val="20"/>
                <w:szCs w:val="20"/>
                <w:color w:val="auto"/>
              </w:rPr>
            </w:pPr>
            <w:r>
              <w:rPr>
                <w:rFonts w:ascii="Arial" w:cs="Arial" w:eastAsia="Arial" w:hAnsi="Arial"/>
                <w:sz w:val="18"/>
                <w:szCs w:val="18"/>
                <w:color w:val="auto"/>
                <w:w w:val="86"/>
              </w:rPr>
              <w:t>500,000</w:t>
            </w: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11"/>
              <w:spacing w:after="0" w:line="171"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8"/>
                <w:szCs w:val="18"/>
                <w:color w:val="auto"/>
                <w:w w:val="98"/>
              </w:rPr>
              <w:t>490,750</w:t>
            </w:r>
          </w:p>
        </w:tc>
        <w:tc>
          <w:tcPr>
            <w:tcW w:w="1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8"/>
                <w:szCs w:val="18"/>
                <w:color w:val="auto"/>
                <w:w w:val="95"/>
              </w:rPr>
              <w:t>232,750</w:t>
            </w:r>
          </w:p>
        </w:tc>
        <w:tc>
          <w:tcPr>
            <w:tcW w:w="1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8"/>
                <w:szCs w:val="18"/>
                <w:color w:val="auto"/>
                <w:w w:val="95"/>
              </w:rPr>
              <w:t>500,000</w:t>
            </w:r>
          </w:p>
        </w:tc>
        <w:tc>
          <w:tcPr>
            <w:tcW w:w="1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16"/>
              <w:spacing w:after="0" w:line="171"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8"/>
                <w:szCs w:val="18"/>
                <w:color w:val="auto"/>
              </w:rPr>
              <w:t>20,864</w:t>
            </w:r>
          </w:p>
        </w:tc>
        <w:tc>
          <w:tcPr>
            <w:tcW w:w="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8"/>
                <w:szCs w:val="18"/>
                <w:color w:val="auto"/>
                <w:w w:val="94"/>
              </w:rPr>
              <w:t>1,744,364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President and Chief</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278,846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189,583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235,000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498,000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1,211,851</w:t>
            </w:r>
          </w:p>
        </w:tc>
        <w:tc>
          <w:tcPr>
            <w:tcW w:w="0" w:type="dxa"/>
            <w:vAlign w:val="bottom"/>
          </w:tcPr>
          <w:p>
            <w:pPr>
              <w:spacing w:after="0"/>
              <w:rPr>
                <w:sz w:val="1"/>
                <w:szCs w:val="1"/>
                <w:color w:val="auto"/>
              </w:rPr>
            </w:pPr>
          </w:p>
        </w:tc>
      </w:tr>
      <w:tr>
        <w:trPr>
          <w:trHeight w:val="248"/>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Executive Officer</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4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James H. Dorton</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spacing w:after="0" w:line="198" w:lineRule="exact"/>
              <w:rPr>
                <w:sz w:val="20"/>
                <w:szCs w:val="20"/>
                <w:color w:val="auto"/>
              </w:rPr>
            </w:pPr>
            <w:r>
              <w:rPr>
                <w:rFonts w:ascii="Arial" w:cs="Arial" w:eastAsia="Arial" w:hAnsi="Arial"/>
                <w:sz w:val="18"/>
                <w:szCs w:val="18"/>
                <w:color w:val="auto"/>
              </w:rPr>
              <w:t>2014</w:t>
            </w:r>
          </w:p>
        </w:tc>
        <w:tc>
          <w:tcPr>
            <w:tcW w:w="900" w:type="dxa"/>
            <w:vAlign w:val="bottom"/>
            <w:gridSpan w:val="3"/>
          </w:tcPr>
          <w:p>
            <w:pPr>
              <w:ind w:left="140"/>
              <w:spacing w:after="0" w:line="198" w:lineRule="exact"/>
              <w:rPr>
                <w:sz w:val="20"/>
                <w:szCs w:val="20"/>
                <w:color w:val="auto"/>
              </w:rPr>
            </w:pPr>
            <w:r>
              <w:rPr>
                <w:rFonts w:ascii="Arial" w:cs="Arial" w:eastAsia="Arial" w:hAnsi="Arial"/>
                <w:sz w:val="18"/>
                <w:szCs w:val="18"/>
                <w:color w:val="auto"/>
              </w:rPr>
              <w:t>315,000</w:t>
            </w:r>
          </w:p>
        </w:tc>
        <w:tc>
          <w:tcPr>
            <w:tcW w:w="820" w:type="dxa"/>
            <w:vAlign w:val="bottom"/>
            <w:gridSpan w:val="2"/>
          </w:tcPr>
          <w:p>
            <w:pPr>
              <w:jc w:val="right"/>
              <w:ind w:right="260"/>
              <w:spacing w:after="0" w:line="198"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8" w:lineRule="exact"/>
              <w:rPr>
                <w:sz w:val="20"/>
                <w:szCs w:val="20"/>
                <w:color w:val="auto"/>
              </w:rPr>
            </w:pPr>
            <w:r>
              <w:rPr>
                <w:rFonts w:ascii="Arial" w:cs="Arial" w:eastAsia="Arial" w:hAnsi="Arial"/>
                <w:sz w:val="18"/>
                <w:szCs w:val="18"/>
                <w:color w:val="auto"/>
                <w:w w:val="98"/>
              </w:rPr>
              <w:t>137,410</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37,240</w:t>
            </w:r>
          </w:p>
        </w:tc>
        <w:tc>
          <w:tcPr>
            <w:tcW w:w="82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w w:val="95"/>
              </w:rPr>
              <w:t>217,060</w:t>
            </w:r>
          </w:p>
        </w:tc>
        <w:tc>
          <w:tcPr>
            <w:tcW w:w="1260" w:type="dxa"/>
            <w:vAlign w:val="bottom"/>
            <w:gridSpan w:val="2"/>
          </w:tcPr>
          <w:p>
            <w:pPr>
              <w:jc w:val="right"/>
              <w:ind w:right="280"/>
              <w:spacing w:after="0" w:line="198"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21,837</w:t>
            </w:r>
          </w:p>
        </w:tc>
        <w:tc>
          <w:tcPr>
            <w:tcW w:w="780" w:type="dxa"/>
            <w:vAlign w:val="bottom"/>
          </w:tcPr>
          <w:p>
            <w:pPr>
              <w:jc w:val="right"/>
              <w:spacing w:after="0" w:line="198" w:lineRule="exact"/>
              <w:rPr>
                <w:sz w:val="20"/>
                <w:szCs w:val="20"/>
                <w:color w:val="auto"/>
              </w:rPr>
            </w:pPr>
            <w:r>
              <w:rPr>
                <w:rFonts w:ascii="Arial" w:cs="Arial" w:eastAsia="Arial" w:hAnsi="Arial"/>
                <w:sz w:val="18"/>
                <w:szCs w:val="18"/>
                <w:color w:val="auto"/>
              </w:rPr>
              <w:t>728,547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b w:val="1"/>
                <w:bCs w:val="1"/>
                <w:color w:val="auto"/>
              </w:rPr>
              <w:t>Sr. Vice President –</w:t>
            </w:r>
          </w:p>
        </w:tc>
        <w:tc>
          <w:tcPr>
            <w:tcW w:w="600" w:type="dxa"/>
            <w:vAlign w:val="bottom"/>
            <w:gridSpan w:val="4"/>
          </w:tcPr>
          <w:p>
            <w:pPr>
              <w:ind w:left="140"/>
              <w:spacing w:after="0"/>
              <w:rPr>
                <w:sz w:val="20"/>
                <w:szCs w:val="20"/>
                <w:color w:val="auto"/>
              </w:rPr>
            </w:pPr>
            <w:r>
              <w:rPr>
                <w:rFonts w:ascii="Arial" w:cs="Arial" w:eastAsia="Arial" w:hAnsi="Arial"/>
                <w:sz w:val="18"/>
                <w:szCs w:val="18"/>
                <w:color w:val="auto"/>
              </w:rPr>
              <w:t>2013</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315,000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62,811</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78,750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148,401</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21,737</w:t>
            </w:r>
          </w:p>
        </w:tc>
        <w:tc>
          <w:tcPr>
            <w:tcW w:w="780" w:type="dxa"/>
            <w:vAlign w:val="bottom"/>
          </w:tcPr>
          <w:p>
            <w:pPr>
              <w:jc w:val="right"/>
              <w:spacing w:after="0"/>
              <w:rPr>
                <w:sz w:val="20"/>
                <w:szCs w:val="20"/>
                <w:color w:val="auto"/>
              </w:rPr>
            </w:pPr>
            <w:r>
              <w:rPr>
                <w:rFonts w:ascii="Arial" w:cs="Arial" w:eastAsia="Arial" w:hAnsi="Arial"/>
                <w:sz w:val="18"/>
                <w:szCs w:val="18"/>
                <w:color w:val="auto"/>
              </w:rPr>
              <w:t>626,699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180"/>
              <w:spacing w:after="0"/>
              <w:rPr>
                <w:sz w:val="20"/>
                <w:szCs w:val="20"/>
                <w:color w:val="auto"/>
              </w:rPr>
            </w:pPr>
            <w:r>
              <w:rPr>
                <w:rFonts w:ascii="Arial" w:cs="Arial" w:eastAsia="Arial" w:hAnsi="Arial"/>
                <w:sz w:val="18"/>
                <w:szCs w:val="18"/>
                <w:b w:val="1"/>
                <w:bCs w:val="1"/>
                <w:color w:val="auto"/>
              </w:rPr>
              <w:t>Chief Financial Officer</w:t>
            </w:r>
          </w:p>
        </w:tc>
        <w:tc>
          <w:tcPr>
            <w:tcW w:w="600" w:type="dxa"/>
            <w:vAlign w:val="bottom"/>
            <w:gridSpan w:val="4"/>
          </w:tcPr>
          <w:p>
            <w:pPr>
              <w:ind w:left="140"/>
              <w:spacing w:after="0"/>
              <w:rPr>
                <w:sz w:val="20"/>
                <w:szCs w:val="20"/>
                <w:color w:val="auto"/>
              </w:rPr>
            </w:pPr>
            <w:r>
              <w:rPr>
                <w:rFonts w:ascii="Arial" w:cs="Arial" w:eastAsia="Arial" w:hAnsi="Arial"/>
                <w:sz w:val="18"/>
                <w:szCs w:val="18"/>
                <w:color w:val="auto"/>
              </w:rPr>
              <w:t>2012</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310,960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55,818</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64,050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113,400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21,637</w:t>
            </w:r>
          </w:p>
        </w:tc>
        <w:tc>
          <w:tcPr>
            <w:tcW w:w="780" w:type="dxa"/>
            <w:vAlign w:val="bottom"/>
          </w:tcPr>
          <w:p>
            <w:pPr>
              <w:jc w:val="right"/>
              <w:spacing w:after="0"/>
              <w:rPr>
                <w:sz w:val="20"/>
                <w:szCs w:val="20"/>
                <w:color w:val="auto"/>
              </w:rPr>
            </w:pPr>
            <w:r>
              <w:rPr>
                <w:rFonts w:ascii="Arial" w:cs="Arial" w:eastAsia="Arial" w:hAnsi="Arial"/>
                <w:sz w:val="18"/>
                <w:szCs w:val="18"/>
                <w:color w:val="auto"/>
              </w:rPr>
              <w:t>565,865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Frank T. Gentry III</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315,000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137,410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37,240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167,727</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Sr. Vice President –</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315,000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111,662</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Managing Director,</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310,960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78,750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55,818</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64,050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Metal Bearing</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Components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James R. Widders</w:t>
            </w:r>
          </w:p>
        </w:tc>
        <w:tc>
          <w:tcPr>
            <w:tcW w:w="600" w:type="dxa"/>
            <w:vAlign w:val="bottom"/>
            <w:gridSpan w:val="4"/>
          </w:tcPr>
          <w:p>
            <w:pPr>
              <w:ind w:left="140"/>
              <w:spacing w:after="0"/>
              <w:rPr>
                <w:sz w:val="20"/>
                <w:szCs w:val="20"/>
                <w:color w:val="auto"/>
              </w:rPr>
            </w:pPr>
            <w:r>
              <w:rPr>
                <w:rFonts w:ascii="Arial" w:cs="Arial" w:eastAsia="Arial" w:hAnsi="Arial"/>
                <w:sz w:val="18"/>
                <w:szCs w:val="18"/>
                <w:color w:val="auto"/>
              </w:rPr>
              <w:t>2014</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230,000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98,150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27,930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161,762</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17,388</w:t>
            </w:r>
          </w:p>
        </w:tc>
        <w:tc>
          <w:tcPr>
            <w:tcW w:w="780" w:type="dxa"/>
            <w:vAlign w:val="bottom"/>
          </w:tcPr>
          <w:p>
            <w:pPr>
              <w:jc w:val="right"/>
              <w:spacing w:after="0"/>
              <w:rPr>
                <w:sz w:val="20"/>
                <w:szCs w:val="20"/>
                <w:color w:val="auto"/>
              </w:rPr>
            </w:pPr>
            <w:r>
              <w:rPr>
                <w:rFonts w:ascii="Arial" w:cs="Arial" w:eastAsia="Arial" w:hAnsi="Arial"/>
                <w:sz w:val="18"/>
                <w:szCs w:val="18"/>
                <w:color w:val="auto"/>
              </w:rPr>
              <w:t>535,230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20" w:type="dxa"/>
            <w:vAlign w:val="bottom"/>
            <w:gridSpan w:val="2"/>
          </w:tcPr>
          <w:p>
            <w:pPr>
              <w:ind w:left="180"/>
              <w:spacing w:after="0" w:line="198" w:lineRule="exact"/>
              <w:rPr>
                <w:sz w:val="20"/>
                <w:szCs w:val="20"/>
                <w:color w:val="auto"/>
              </w:rPr>
            </w:pPr>
            <w:r>
              <w:rPr>
                <w:rFonts w:ascii="Arial" w:cs="Arial" w:eastAsia="Arial" w:hAnsi="Arial"/>
                <w:sz w:val="18"/>
                <w:szCs w:val="18"/>
                <w:b w:val="1"/>
                <w:bCs w:val="1"/>
                <w:color w:val="auto"/>
              </w:rPr>
              <w:t>Vice President—</w:t>
            </w:r>
          </w:p>
        </w:tc>
        <w:tc>
          <w:tcPr>
            <w:tcW w:w="600" w:type="dxa"/>
            <w:vAlign w:val="bottom"/>
            <w:gridSpan w:val="4"/>
            <w:vMerge w:val="restart"/>
          </w:tcPr>
          <w:p>
            <w:pPr>
              <w:ind w:left="140"/>
              <w:spacing w:after="0"/>
              <w:rPr>
                <w:sz w:val="20"/>
                <w:szCs w:val="20"/>
                <w:color w:val="auto"/>
              </w:rPr>
            </w:pPr>
            <w:r>
              <w:rPr>
                <w:rFonts w:ascii="Arial" w:cs="Arial" w:eastAsia="Arial" w:hAnsi="Arial"/>
                <w:sz w:val="18"/>
                <w:szCs w:val="18"/>
                <w:color w:val="auto"/>
              </w:rPr>
              <w:t>2013</w:t>
            </w:r>
          </w:p>
        </w:tc>
        <w:tc>
          <w:tcPr>
            <w:tcW w:w="900" w:type="dxa"/>
            <w:vAlign w:val="bottom"/>
            <w:gridSpan w:val="3"/>
            <w:vMerge w:val="restart"/>
          </w:tcPr>
          <w:p>
            <w:pPr>
              <w:ind w:left="140"/>
              <w:spacing w:after="0"/>
              <w:rPr>
                <w:sz w:val="20"/>
                <w:szCs w:val="20"/>
                <w:color w:val="auto"/>
              </w:rPr>
            </w:pPr>
            <w:r>
              <w:rPr>
                <w:rFonts w:ascii="Arial" w:cs="Arial" w:eastAsia="Arial" w:hAnsi="Arial"/>
                <w:sz w:val="18"/>
                <w:szCs w:val="18"/>
                <w:color w:val="auto"/>
              </w:rPr>
              <w:t>227,536</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46,859</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63,000</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5"/>
              </w:rPr>
              <w:t>108,513</w:t>
            </w: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18,013</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463,921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4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General Manager,</w:t>
            </w:r>
          </w:p>
        </w:tc>
        <w:tc>
          <w:tcPr>
            <w:tcW w:w="600" w:type="dxa"/>
            <w:vAlign w:val="bottom"/>
            <w:gridSpan w:val="4"/>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420" w:type="dxa"/>
            <w:vAlign w:val="bottom"/>
            <w:gridSpan w:val="2"/>
            <w:vMerge w:val="continue"/>
          </w:tcPr>
          <w:p>
            <w:pPr>
              <w:spacing w:after="0"/>
              <w:rPr>
                <w:sz w:val="7"/>
                <w:szCs w:val="7"/>
                <w:color w:val="auto"/>
              </w:rPr>
            </w:pPr>
          </w:p>
        </w:tc>
        <w:tc>
          <w:tcPr>
            <w:tcW w:w="600" w:type="dxa"/>
            <w:vAlign w:val="bottom"/>
            <w:gridSpan w:val="4"/>
            <w:vMerge w:val="restart"/>
          </w:tcPr>
          <w:p>
            <w:pPr>
              <w:ind w:left="140"/>
              <w:spacing w:after="0"/>
              <w:rPr>
                <w:sz w:val="20"/>
                <w:szCs w:val="20"/>
                <w:color w:val="auto"/>
              </w:rPr>
            </w:pPr>
            <w:r>
              <w:rPr>
                <w:rFonts w:ascii="Arial" w:cs="Arial" w:eastAsia="Arial" w:hAnsi="Arial"/>
                <w:sz w:val="18"/>
                <w:szCs w:val="18"/>
                <w:color w:val="auto"/>
              </w:rPr>
              <w:t>2012</w:t>
            </w:r>
          </w:p>
        </w:tc>
        <w:tc>
          <w:tcPr>
            <w:tcW w:w="900" w:type="dxa"/>
            <w:vAlign w:val="bottom"/>
            <w:gridSpan w:val="3"/>
            <w:vMerge w:val="restart"/>
          </w:tcPr>
          <w:p>
            <w:pPr>
              <w:ind w:left="140"/>
              <w:spacing w:after="0"/>
              <w:rPr>
                <w:sz w:val="20"/>
                <w:szCs w:val="20"/>
                <w:color w:val="auto"/>
              </w:rPr>
            </w:pPr>
            <w:r>
              <w:rPr>
                <w:rFonts w:ascii="Arial" w:cs="Arial" w:eastAsia="Arial" w:hAnsi="Arial"/>
                <w:sz w:val="18"/>
                <w:szCs w:val="18"/>
                <w:color w:val="auto"/>
              </w:rPr>
              <w:t>217,488</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41,642</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51,240</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5"/>
              </w:rPr>
              <w:t>121,000</w:t>
            </w: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17,833</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449,203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Precision Metal</w:t>
            </w:r>
          </w:p>
        </w:tc>
        <w:tc>
          <w:tcPr>
            <w:tcW w:w="600" w:type="dxa"/>
            <w:vAlign w:val="bottom"/>
            <w:gridSpan w:val="4"/>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Components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William C. Kelly, Jr</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210,000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98,150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27,930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124,574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Vice President—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207,308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46,859</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88,434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19,965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Chief Administrative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197,308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41,642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51,240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80,000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Officer</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the FASB ASC Topic 718, of 25,000, 7,000, 7,000, 5,000 and 5,000 of stock awarded on March 19, 2014 to Messrs. Holder, Dorton, Gentry, Widders and Kelly, respectively. The restricted stock awards to officers and other key employees vest over a period of three years beginning on the first anniversary of the date of grant.</w:t>
      </w:r>
    </w:p>
    <w:p>
      <w:pPr>
        <w:ind w:left="460" w:right="10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the FASB ASC Topic 718, of 25,000, 4,000, 4,000, 3,000 and 3,000 of options to purchase the Company’s stock awarded on March 19, 2014 to Messrs. Holder, Dorton, Gentry, Widders and Kelly, respectively.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2014 filed with the Commission on March 16, 2015.</w:t>
      </w:r>
    </w:p>
    <w:p>
      <w:pPr>
        <w:spacing w:after="0" w:line="2"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bonuses and non-equity incentive compensation is earned in one fiscal year are paid in the first quarter of the next year. Bonuses and non-equity incentive compensation earned during 2014 were paid in March 2015.</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include $14,400 for a car allowance for each of Messrs. Holder, Dorton, Gentry, Widders and Kelly.</w:t>
      </w:r>
    </w:p>
    <w:p>
      <w:pPr>
        <w:spacing w:after="0" w:line="9"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include Company-matched contributions under a “401(k)” savings plan for Messrs. Holder, Dorton, Gentry, Widders, and Kelly. This 401(k) savings plan is open to substantially all of the Company’s U.S. employees and officers who have met certain service and age requirements.</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include $1,264, $2,237, $2,237, $951 and $1,419 in premiums paid by the Company for supplemental life insurance for the benefit of Messrs. Holder, Dorton, Gentry, Widders and Kelly.</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include country club membership dues for each of Messrs. Holder, Dorton and Kelly.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options granted during 2014 to the named executive officers.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vMerge w:val="restart"/>
          </w:tcPr>
          <w:p>
            <w:pPr>
              <w:jc w:val="center"/>
              <w:ind w:right="240"/>
              <w:spacing w:after="0"/>
              <w:rPr>
                <w:sz w:val="20"/>
                <w:szCs w:val="20"/>
                <w:color w:val="auto"/>
              </w:rPr>
            </w:pPr>
            <w:r>
              <w:rPr>
                <w:rFonts w:ascii="Arial" w:cs="Arial" w:eastAsia="Arial" w:hAnsi="Arial"/>
                <w:sz w:val="14"/>
                <w:szCs w:val="14"/>
                <w:b w:val="1"/>
                <w:bCs w:val="1"/>
                <w:color w:val="auto"/>
                <w:w w:val="94"/>
              </w:rPr>
              <w:t>Estimated Future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gridSpan w:val="7"/>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All Other</w:t>
            </w:r>
          </w:p>
        </w:tc>
        <w:tc>
          <w:tcPr>
            <w:tcW w:w="10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Option</w:t>
            </w: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gridSpan w:val="7"/>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payouts Under Non-</w:t>
            </w:r>
          </w:p>
        </w:tc>
        <w:tc>
          <w:tcPr>
            <w:tcW w:w="1940" w:type="dxa"/>
            <w:vAlign w:val="bottom"/>
            <w:gridSpan w:val="5"/>
            <w:vMerge w:val="restart"/>
          </w:tcPr>
          <w:p>
            <w:pPr>
              <w:jc w:val="right"/>
              <w:ind w:right="77"/>
              <w:spacing w:after="0" w:line="149" w:lineRule="exact"/>
              <w:rPr>
                <w:sz w:val="20"/>
                <w:szCs w:val="20"/>
                <w:color w:val="auto"/>
              </w:rPr>
            </w:pPr>
            <w:r>
              <w:rPr>
                <w:rFonts w:ascii="Arial" w:cs="Arial" w:eastAsia="Arial" w:hAnsi="Arial"/>
                <w:sz w:val="14"/>
                <w:szCs w:val="14"/>
                <w:b w:val="1"/>
                <w:bCs w:val="1"/>
                <w:color w:val="auto"/>
              </w:rPr>
              <w:t>Estimated Future Payouts</w:t>
            </w:r>
          </w:p>
        </w:tc>
        <w:tc>
          <w:tcPr>
            <w:tcW w:w="2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gridSpan w:val="7"/>
            <w:vMerge w:val="continue"/>
          </w:tcPr>
          <w:p>
            <w:pPr>
              <w:spacing w:after="0"/>
              <w:rPr>
                <w:sz w:val="5"/>
                <w:szCs w:val="5"/>
                <w:color w:val="auto"/>
              </w:rPr>
            </w:pPr>
          </w:p>
        </w:tc>
        <w:tc>
          <w:tcPr>
            <w:tcW w:w="194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86"/>
              </w:rPr>
              <w:t>Exercise</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gridSpan w:val="7"/>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Equity Incentive Plan</w:t>
            </w:r>
          </w:p>
        </w:tc>
        <w:tc>
          <w:tcPr>
            <w:tcW w:w="1940" w:type="dxa"/>
            <w:vAlign w:val="bottom"/>
            <w:gridSpan w:val="5"/>
            <w:vMerge w:val="restart"/>
          </w:tcPr>
          <w:p>
            <w:pPr>
              <w:jc w:val="right"/>
              <w:spacing w:after="0" w:line="149" w:lineRule="exact"/>
              <w:rPr>
                <w:sz w:val="20"/>
                <w:szCs w:val="20"/>
                <w:color w:val="auto"/>
              </w:rPr>
            </w:pPr>
            <w:r>
              <w:rPr>
                <w:rFonts w:ascii="Arial" w:cs="Arial" w:eastAsia="Arial" w:hAnsi="Arial"/>
                <w:sz w:val="14"/>
                <w:szCs w:val="14"/>
                <w:b w:val="1"/>
                <w:bCs w:val="1"/>
                <w:color w:val="auto"/>
                <w:w w:val="99"/>
              </w:rPr>
              <w:t>Under Equity Incentive Plan</w:t>
            </w:r>
          </w:p>
        </w:tc>
        <w:tc>
          <w:tcPr>
            <w:tcW w:w="2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gridSpan w:val="7"/>
            <w:vMerge w:val="continue"/>
          </w:tcPr>
          <w:p>
            <w:pPr>
              <w:spacing w:after="0"/>
              <w:rPr>
                <w:sz w:val="5"/>
                <w:szCs w:val="5"/>
                <w:color w:val="auto"/>
              </w:rPr>
            </w:pPr>
          </w:p>
        </w:tc>
        <w:tc>
          <w:tcPr>
            <w:tcW w:w="194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or Base</w:t>
            </w:r>
          </w:p>
        </w:tc>
        <w:tc>
          <w:tcPr>
            <w:tcW w:w="8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Awards</w:t>
            </w: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Awards</w:t>
            </w: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gridSpan w:val="3"/>
            <w:vMerge w:val="continue"/>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Price of</w:t>
            </w:r>
          </w:p>
        </w:tc>
        <w:tc>
          <w:tcPr>
            <w:tcW w:w="8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38"/>
        </w:trPr>
        <w:tc>
          <w:tcPr>
            <w:tcW w:w="3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Thres-</w:t>
            </w: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w:t>
            </w: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w:t>
            </w:r>
          </w:p>
        </w:tc>
        <w:tc>
          <w:tcPr>
            <w:tcW w:w="2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w:t>
            </w:r>
          </w:p>
        </w:tc>
        <w:tc>
          <w:tcPr>
            <w:tcW w:w="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640" w:type="dxa"/>
            <w:vAlign w:val="bottom"/>
            <w:gridSpan w:val="2"/>
            <w:vMerge w:val="continue"/>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Thres-</w:t>
            </w:r>
          </w:p>
        </w:tc>
        <w:tc>
          <w:tcPr>
            <w:tcW w:w="260" w:type="dxa"/>
            <w:vAlign w:val="bottom"/>
          </w:tcPr>
          <w:p>
            <w:pPr>
              <w:spacing w:after="0"/>
              <w:rPr>
                <w:sz w:val="12"/>
                <w:szCs w:val="12"/>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Target</w:t>
            </w: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of</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Option</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60" w:type="dxa"/>
            <w:vAlign w:val="bottom"/>
            <w:vMerge w:val="restart"/>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hold</w:t>
            </w: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mum</w:t>
            </w: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mum</w:t>
            </w:r>
          </w:p>
        </w:tc>
        <w:tc>
          <w:tcPr>
            <w:tcW w:w="2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or</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5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Date</w:t>
            </w:r>
          </w:p>
        </w:tc>
        <w:tc>
          <w:tcPr>
            <w:tcW w:w="5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6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38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520" w:type="dxa"/>
            <w:vAlign w:val="bottom"/>
          </w:tcPr>
          <w:p>
            <w:pPr>
              <w:ind w:left="20"/>
              <w:spacing w:after="0" w:line="158" w:lineRule="exact"/>
              <w:rPr>
                <w:sz w:val="20"/>
                <w:szCs w:val="20"/>
                <w:color w:val="auto"/>
              </w:rPr>
            </w:pPr>
            <w:r>
              <w:rPr>
                <w:rFonts w:ascii="Arial" w:cs="Arial" w:eastAsia="Arial" w:hAnsi="Arial"/>
                <w:sz w:val="14"/>
                <w:szCs w:val="14"/>
                <w:b w:val="1"/>
                <w:bCs w:val="1"/>
                <w:color w:val="auto"/>
                <w:w w:val="94"/>
              </w:rPr>
              <w:t xml:space="preserve">hold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700" w:type="dxa"/>
            <w:vAlign w:val="bottom"/>
            <w:gridSpan w:val="2"/>
          </w:tcPr>
          <w:p>
            <w:pPr>
              <w:jc w:val="right"/>
              <w:ind w:right="53"/>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9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Units (#)(1)</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300" w:type="dxa"/>
            <w:vAlign w:val="bottom"/>
          </w:tcPr>
          <w:p>
            <w:pPr>
              <w:spacing w:after="0"/>
              <w:rPr>
                <w:sz w:val="15"/>
                <w:szCs w:val="15"/>
                <w:color w:val="auto"/>
              </w:rPr>
            </w:pPr>
          </w:p>
        </w:tc>
        <w:tc>
          <w:tcPr>
            <w:tcW w:w="8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($/sh)</w:t>
            </w:r>
          </w:p>
        </w:tc>
        <w:tc>
          <w:tcPr>
            <w:tcW w:w="8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9.31</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232,750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7,000</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9.31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37,240</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37,240</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Mr. Kelly</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5,000</w:t>
            </w: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9.31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27,930</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 w:hanging="452"/>
        <w:spacing w:after="0" w:line="29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March 19, 2014, the Company awarded 93,000 shares of stock to five non-employee directors, five executive officers and other key employees. The restricted stock awards to officers and other key employees vest over a period of three years beginning on the first anniversary of the date of grant.</w:t>
      </w:r>
    </w:p>
    <w:p>
      <w:pPr>
        <w:ind w:left="460" w:right="180" w:hanging="452"/>
        <w:spacing w:after="0" w:line="253"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March 19, 2014, the Company awarded an aggregate of 96,000 stock options to five non-employee directors, five executive officers and other key employees. The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the Company’s Annual Report on Form 10-K for the year ended December 31, 2014, filed with the Commission on March 16, 2015.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outstanding equity awards as of December 31,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Incentive</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 or</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Value of</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Units of</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Shares or</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Unearned</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Number of Securities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Units of</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That Have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 That</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or Other</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Have Not</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5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Vested</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w w:val="92"/>
              </w:rPr>
              <w:t>Exercisable(1)(3)</w:t>
            </w:r>
          </w:p>
        </w:tc>
        <w:tc>
          <w:tcPr>
            <w:tcW w:w="100" w:type="dxa"/>
            <w:vAlign w:val="bottom"/>
          </w:tcPr>
          <w:p>
            <w:pPr>
              <w:spacing w:after="0"/>
              <w:rPr>
                <w:sz w:val="15"/>
                <w:szCs w:val="15"/>
                <w:color w:val="auto"/>
              </w:rPr>
            </w:pPr>
          </w:p>
        </w:tc>
        <w:tc>
          <w:tcPr>
            <w:tcW w:w="15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 Unexercisable(1)</w:t>
            </w: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Options (#)</w:t>
            </w: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2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20" w:type="dxa"/>
            <w:vAlign w:val="bottom"/>
          </w:tcPr>
          <w:p>
            <w:pPr>
              <w:spacing w:after="0"/>
              <w:rPr>
                <w:sz w:val="15"/>
                <w:szCs w:val="15"/>
                <w:color w:val="auto"/>
              </w:rPr>
            </w:pP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Vested (#)</w:t>
            </w:r>
          </w:p>
        </w:tc>
        <w:tc>
          <w:tcPr>
            <w:tcW w:w="9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33,334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66,666</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9.40</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6/3/2023</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3/19/2024</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342,653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514,000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Mr. Dorton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15,000</w:t>
            </w:r>
          </w:p>
        </w:tc>
        <w:tc>
          <w:tcPr>
            <w:tcW w:w="100" w:type="dxa"/>
            <w:vAlign w:val="bottom"/>
          </w:tcPr>
          <w:p>
            <w:pPr>
              <w:spacing w:after="0"/>
              <w:rPr>
                <w:sz w:val="17"/>
                <w:szCs w:val="17"/>
                <w:color w:val="auto"/>
              </w:rPr>
            </w:pPr>
          </w:p>
        </w:tc>
        <w:tc>
          <w:tcPr>
            <w:tcW w:w="1520" w:type="dxa"/>
            <w:vAlign w:val="bottom"/>
            <w:gridSpan w:val="2"/>
          </w:tcPr>
          <w:p>
            <w:pPr>
              <w:ind w:left="104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11.61</w:t>
            </w: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7"/>
              </w:rPr>
              <w:t>8/19/2015</w:t>
            </w:r>
          </w:p>
        </w:tc>
        <w:tc>
          <w:tcPr>
            <w:tcW w:w="9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8/14/2016</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5/25/2017</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5/26/2021</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10,000</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5,000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8.89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3/21/2022</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2,434</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12,566</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9.97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3/25/2023</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4,000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19.63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3/19/2024</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43,176</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86,352</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143,920</w:t>
            </w:r>
          </w:p>
        </w:tc>
        <w:tc>
          <w:tcPr>
            <w:tcW w:w="22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5/26/2021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3/21/2022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3/25/2023</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3/19/2024</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Mr. Kelly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9,000</w:t>
            </w:r>
          </w:p>
        </w:tc>
        <w:tc>
          <w:tcPr>
            <w:tcW w:w="100" w:type="dxa"/>
            <w:vAlign w:val="bottom"/>
          </w:tcPr>
          <w:p>
            <w:pPr>
              <w:spacing w:after="0"/>
              <w:rPr>
                <w:sz w:val="17"/>
                <w:szCs w:val="17"/>
                <w:color w:val="auto"/>
              </w:rPr>
            </w:pPr>
          </w:p>
        </w:tc>
        <w:tc>
          <w:tcPr>
            <w:tcW w:w="1520" w:type="dxa"/>
            <w:vAlign w:val="bottom"/>
            <w:gridSpan w:val="2"/>
          </w:tcPr>
          <w:p>
            <w:pPr>
              <w:ind w:left="104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14.13</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7"/>
              </w:rPr>
              <w:t>5/26/2021</w:t>
            </w:r>
          </w:p>
        </w:tc>
        <w:tc>
          <w:tcPr>
            <w:tcW w:w="9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8,000</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4,000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8.89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3/21/2022</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2,434</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9,566</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9.97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3/25/2023</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3,000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19.63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3/19/2024</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1,566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32,197</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3,133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64,414</w:t>
            </w: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102,800</w:t>
            </w:r>
          </w:p>
        </w:tc>
        <w:tc>
          <w:tcPr>
            <w:tcW w:w="22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Widders</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6/2/2021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5,333</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2,667</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3/21/2022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9,566</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3/25/2023</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3/19/2024</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32,197</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64,414</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102,800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options vest by one-third on each anniversary date over a three-year period beginning on the first anniversary date of grant.</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shares vest one-third on each anniversary date over a three-year period beginning on the first anniversary date of grant.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Gentry’s stock options and restricted shares vested upon his retirement.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option exercises and stock vesting as of December 31, 2014.</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Option Exercises and Stock Vested During 2014</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7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282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82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16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Value Realized</w:t>
            </w:r>
          </w:p>
        </w:tc>
        <w:tc>
          <w:tcPr>
            <w:tcW w:w="172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Number of</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80" w:type="dxa"/>
            <w:vAlign w:val="bottom"/>
            <w:vMerge w:val="restart"/>
          </w:tcPr>
          <w:p>
            <w:pPr>
              <w:spacing w:after="0"/>
              <w:rPr>
                <w:sz w:val="12"/>
                <w:szCs w:val="12"/>
                <w:color w:val="auto"/>
              </w:rPr>
            </w:pPr>
          </w:p>
        </w:tc>
        <w:tc>
          <w:tcPr>
            <w:tcW w:w="18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00" w:type="dxa"/>
            <w:vAlign w:val="bottom"/>
            <w:gridSpan w:val="2"/>
            <w:vMerge w:val="continue"/>
          </w:tcPr>
          <w:p>
            <w:pPr>
              <w:spacing w:after="0"/>
              <w:rPr>
                <w:sz w:val="12"/>
                <w:szCs w:val="12"/>
                <w:color w:val="auto"/>
              </w:rPr>
            </w:pPr>
          </w:p>
        </w:tc>
        <w:tc>
          <w:tcPr>
            <w:tcW w:w="17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9"/>
              </w:rPr>
              <w:t>Shares Acquired</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780" w:type="dxa"/>
            <w:vAlign w:val="bottom"/>
            <w:vMerge w:val="continue"/>
          </w:tcPr>
          <w:p>
            <w:pPr>
              <w:spacing w:after="0"/>
              <w:rPr>
                <w:sz w:val="15"/>
                <w:szCs w:val="15"/>
                <w:color w:val="auto"/>
              </w:rPr>
            </w:pPr>
          </w:p>
        </w:tc>
        <w:tc>
          <w:tcPr>
            <w:tcW w:w="182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1"/>
              </w:rPr>
              <w:t>Exercise (#)</w:t>
            </w:r>
          </w:p>
        </w:tc>
        <w:tc>
          <w:tcPr>
            <w:tcW w:w="160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w w:val="90"/>
              </w:rPr>
              <w:t xml:space="preserve">on Exercise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72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0"/>
              </w:rPr>
              <w:t>on Vesting (#)</w:t>
            </w:r>
          </w:p>
        </w:tc>
        <w:tc>
          <w:tcPr>
            <w:tcW w:w="12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8,334</w:t>
            </w:r>
          </w:p>
        </w:tc>
        <w:tc>
          <w:tcPr>
            <w:tcW w:w="6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207,683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8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6,300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130,872</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1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130,872</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Mr. Widders</w:t>
            </w:r>
          </w:p>
        </w:tc>
        <w:tc>
          <w:tcPr>
            <w:tcW w:w="18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4,699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97,612</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Kelly</w:t>
            </w: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27,000</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351,180</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4,699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97,612</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Messrs. Holder, Dorton, Gentry, Widders and Kelly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The employment agreements for each of Messrs. Holder, Dorton, Gentry, Widders and Kelly also include a non-competition term that ends two years after the conclusion of each executive’s employment with the Company.</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employment agreements for each of Messrs. Holder, Dorton, Gentry, Widders and Kelly have change of control provisions. These provisions state if an executive’s employment is terminated within two years following a change of control, as defined in each executive’s employment agreement, each executive will receive a lump sum payment equal to a percentage of his annual salary plus a multiple of his median bonus available at his specific target percentage. Additionally, a lump sum amount of $12,000 would be paid by the Company to each executive officer for transition costs.</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 shows the percentage upon which each named executive officer’s lump sum payment would be based in the event of a change of control:</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620" w:type="dxa"/>
            <w:vAlign w:val="bottom"/>
          </w:tcPr>
          <w:p>
            <w:pPr>
              <w:spacing w:after="0"/>
              <w:rPr>
                <w:sz w:val="14"/>
                <w:szCs w:val="14"/>
                <w:color w:val="auto"/>
              </w:rPr>
            </w:pPr>
          </w:p>
        </w:tc>
        <w:tc>
          <w:tcPr>
            <w:tcW w:w="3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31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2"/>
            <w:vMerge w:val="continue"/>
            <w:shd w:val="clear" w:color="auto" w:fill="CCEEFF"/>
          </w:tcPr>
          <w:p>
            <w:pPr>
              <w:spacing w:after="0"/>
              <w:rPr>
                <w:sz w:val="17"/>
                <w:szCs w:val="17"/>
                <w:color w:val="auto"/>
              </w:rPr>
            </w:pPr>
          </w:p>
        </w:tc>
        <w:tc>
          <w:tcPr>
            <w:tcW w:w="310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37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3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Mr. Widders</w:t>
            </w:r>
          </w:p>
        </w:tc>
        <w:tc>
          <w:tcPr>
            <w:tcW w:w="37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Kelly</w:t>
            </w:r>
          </w:p>
        </w:tc>
        <w:tc>
          <w:tcPr>
            <w:tcW w:w="3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multiple upon which each named executive officer’s bonus would be based in the event of a change of control:</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980" w:type="dxa"/>
            <w:vAlign w:val="bottom"/>
          </w:tcPr>
          <w:p>
            <w:pPr>
              <w:spacing w:after="0"/>
              <w:rPr>
                <w:sz w:val="16"/>
                <w:szCs w:val="16"/>
                <w:color w:val="auto"/>
              </w:rPr>
            </w:pPr>
          </w:p>
        </w:tc>
        <w:tc>
          <w:tcPr>
            <w:tcW w:w="5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Multiple</w:t>
            </w:r>
          </w:p>
        </w:tc>
      </w:tr>
      <w:tr>
        <w:trPr>
          <w:trHeight w:val="203"/>
        </w:trPr>
        <w:tc>
          <w:tcPr>
            <w:tcW w:w="2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4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2x</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47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2x</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4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2x</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Mr. Widders</w:t>
            </w:r>
          </w:p>
        </w:tc>
        <w:tc>
          <w:tcPr>
            <w:tcW w:w="47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2x</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Kelly</w:t>
            </w:r>
          </w:p>
        </w:tc>
        <w:tc>
          <w:tcPr>
            <w:tcW w:w="4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2x</w:t>
            </w:r>
          </w:p>
        </w:tc>
      </w:tr>
      <w:tr>
        <w:trPr>
          <w:trHeight w:val="365"/>
        </w:trPr>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780" w:type="dxa"/>
            <w:vAlign w:val="bottom"/>
          </w:tcPr>
          <w:p>
            <w:pPr>
              <w:jc w:val="right"/>
              <w:ind w:right="3079"/>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274" w:right="359" w:bottom="1440" w:gutter="0" w:footer="0" w:header="0"/>
        </w:sectPr>
      </w:pPr>
    </w:p>
    <w:bookmarkStart w:id="34" w:name="page35"/>
    <w:bookmarkEnd w:id="34"/>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compensation each named executive officer would have received under their respective employment agreements had a change in control occurred as of December 31, 2014.</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80" w:type="dxa"/>
            <w:vAlign w:val="bottom"/>
          </w:tcPr>
          <w:p>
            <w:pPr>
              <w:spacing w:after="0"/>
              <w:rPr>
                <w:sz w:val="16"/>
                <w:szCs w:val="16"/>
                <w:color w:val="auto"/>
              </w:rPr>
            </w:pPr>
          </w:p>
        </w:tc>
        <w:tc>
          <w:tcPr>
            <w:tcW w:w="4020" w:type="dxa"/>
            <w:vAlign w:val="bottom"/>
            <w:gridSpan w:val="3"/>
          </w:tcPr>
          <w:p>
            <w:pPr>
              <w:ind w:left="2860"/>
              <w:spacing w:after="0"/>
              <w:rPr>
                <w:sz w:val="20"/>
                <w:szCs w:val="20"/>
                <w:color w:val="auto"/>
              </w:rPr>
            </w:pPr>
            <w:r>
              <w:rPr>
                <w:rFonts w:ascii="Arial" w:cs="Arial" w:eastAsia="Arial" w:hAnsi="Arial"/>
                <w:sz w:val="14"/>
                <w:szCs w:val="14"/>
                <w:b w:val="1"/>
                <w:bCs w:val="1"/>
                <w:u w:val="single" w:color="auto"/>
                <w:color w:val="auto"/>
                <w:w w:val="99"/>
              </w:rPr>
              <w:t>Compensation($</w:t>
            </w:r>
            <w:r>
              <w:rPr>
                <w:rFonts w:ascii="Arial" w:cs="Arial" w:eastAsia="Arial" w:hAnsi="Arial"/>
                <w:sz w:val="14"/>
                <w:szCs w:val="14"/>
                <w:b w:val="1"/>
                <w:bCs w:val="1"/>
                <w:color w:val="auto"/>
                <w:w w:val="99"/>
              </w:rPr>
              <w:t>)</w:t>
            </w: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2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1,412,000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799,500</w:t>
            </w:r>
          </w:p>
        </w:tc>
        <w:tc>
          <w:tcPr>
            <w:tcW w:w="10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Gentry</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799,500</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Mr. Widders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587,000</w:t>
            </w:r>
          </w:p>
        </w:tc>
        <w:tc>
          <w:tcPr>
            <w:tcW w:w="10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Kelly</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526,500</w:t>
            </w:r>
          </w:p>
        </w:tc>
        <w:tc>
          <w:tcPr>
            <w:tcW w:w="1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All compensation decisions during the fiscal year ended December 31, 2014 for each of the named executive officers were made by the Compensation Committee, consisting of Messrs. Warshaw, Dries, Pugh and Werner,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the Company’s Compensation Committee or the Board.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III: Ratification of Selection of Registered Independent Public Accounting Firm</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firm of PricewaterhouseCoopers LLP has been selected by the Audit Committee as the Company’s registered independent public accounting firm for 2015. Although it is not required to do so, the Board has determined that it is desirable to seek stockholders’ ratification of the selection of PricewaterhouseCoopers LLP. If the stockholders should not ratify the appointment of PricewaterhouseCoopers LLP, the Audit Committee will reconsider the appointment.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Registered Independent Public Accounting Firm</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2014, PricewaterhouseCoopers LLP provided us with audit and tax-related services. The following table sets forth the aggregate fees billed by PricewaterhouseCoopers LLP for audit services rendered in connection with the financial statements and reports for fiscal years 2014 and 2013 and for tax-related services rendered during fiscal years 2014 and 2013 on our behalf, as well as all expenses incurred in connection with these services, which have been or will be billed to us.</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2014</w:t>
            </w:r>
          </w:p>
        </w:tc>
        <w:tc>
          <w:tcPr>
            <w:tcW w:w="12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$1,839,359</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$1,351,505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Tax Fees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398,517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474,633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915,000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3,152,876</w:t>
            </w: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1,826,138</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accordance with definitions and rules established by the Securities and Exchange Commission, or the “SEC,” “audit fees” are fees billed to the Company for professional services for the audit of the Company’s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and “tax fees” are fees billed for tax compliance, tax advice and tax planning.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Audit Committee pre-approves all audit and permissible non-audit services to be provided to the Company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of PricewaterhouseCoopers LLP will not be present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 RECOMMENDS A VOTE “FOR” THIS PROPOSAL.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 to Stockholders</w:t>
      </w:r>
    </w:p>
    <w:p>
      <w:pPr>
        <w:spacing w:after="0" w:line="121"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In accordance with its written charter adopted by the Board, the Audit Committee assists the Board in fulfilling its responsibility for oversight of the quality and integrity of the accounting, auditing and financial reporting practices of the Company. Management has the responsibility for preparation of the Company’s financial statements and the registered independent public accounting firm has the responsibility for the audit of those statements. Each member of the Audit Committee meets the independence requirements of the Nasdaq rules.</w:t>
      </w:r>
    </w:p>
    <w:p>
      <w:pPr>
        <w:spacing w:after="0" w:line="17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Audit Committee has reviewed and discussed with the Company’s management and PricewaterhouseCoopers LLP, the Company’s registered independent public accounting firm, the audited financial statements of the Company for 2014; has discussed with PricewaterhouseCoopers LLP matters required to be discussed by the Statement on Auditing Standards No. 61, as amended, as adopted by the Public Company Accounting Oversight Board, or the “PCAOB,” in Rule 3200T; has received from the registered independent public accounting firm the written disclosures and letter required by PCAOB Rule 3526;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the Company’s Annual Report on Form 10-K for the fiscal year ended December 31, 2014 for filing with the SEC.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of the Audit Committee:</w:t>
      </w:r>
    </w:p>
    <w:p>
      <w:pPr>
        <w:spacing w:after="0" w:line="11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William Dries, Chairman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G. Ronald Morris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David L. Pugh</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Except as noted below, the Company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The Company has adopted a written policy, however, on conflicts of interest, which appear in our Code of Ethics. The Code of Ethics states that a “conflict of interest” exists when the personal interests of an officer, director or associate interferes with that person’s ability to act in the best interest of the Company. Under the Code of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Jack Gentry (the brother of Mr. Frank T. Gentry, III, our former Senior Vice President–Managing Director, Metal Bearing Components) is the Operations Manager for the Company’s Mountain City plant during 2014. The terms of the employment relationship with Jack Gentry are, in the Company’s opinion, no less favorable than the Company would have been able to enter into with a similarly situated employee that was an unrelated party. NN has paid Jack Gentry approximately $127,000 in 2014.</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August 29, 2014, the Company completed its acquisition of Autocam Corporation, or “Autocam,” for an aggregate purchase price of $300.0 million. Mr. Kennedy, one of our directors, was the founder of Autocam and served until the closing of the acquisition as a director and it’s Chief Executive Officer. Mr. Kennedy was also the largest shareholder of Autocam. As consideration for Mr. Kennedy’s equity interest in Autocam, Mr. Kennedy received 1,086,956 shares of the Company’s common stock and cash proceeds of approximately $106.6 million. Additionally, Rising Tide, LLC, a limited liability company owned by certain immediate family members of Mr. Kennedy, received cash proceeds of approximately $19.5 million in respect of its equity interest in Autocam. The acquisition of Autocam and each of the transactions between the Company and Mr. Kennedy are described more fully in the Company’s Current Report on Form 8-K, which was filed with the SEC on September 2, 2014.</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6" w:name="page37"/>
    <w:bookmarkEnd w:id="3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closing of the Autocam acquisition, Mr. Kennedy and the Company entered into an escrow agreement, an indemnity agreement, a non-competition and non-disclosure agreement and a stockholders’ agreement. Pursuant to the terms of the escrow agreement and indemnity agreement,</w:t>
      </w:r>
    </w:p>
    <w:p>
      <w:pPr>
        <w:ind w:right="140"/>
        <w:spacing w:after="0" w:line="253" w:lineRule="auto"/>
        <w:rPr>
          <w:sz w:val="20"/>
          <w:szCs w:val="20"/>
          <w:color w:val="auto"/>
        </w:rPr>
      </w:pPr>
      <w:r>
        <w:rPr>
          <w:rFonts w:ascii="Arial" w:cs="Arial" w:eastAsia="Arial" w:hAnsi="Arial"/>
          <w:sz w:val="18"/>
          <w:szCs w:val="18"/>
          <w:color w:val="auto"/>
        </w:rPr>
        <w:t>Mr. Kennedy may be required to forfeit shares of the Company’s common stock owned by Mr. Kennedy (or cash in lieu of stock) to satisfy certain post-closing escrow claims. Pursuant to the terms of the non-competition and non-disclosure agreement, Mr. Kennedy is restricted from competing against the Company for three years following the closing of the Autocam acquisition and agreed to customary confidentiality and non-solicitation provisions. Pursuant to the terms of the stockholders’ agreement, shares of the Company’s common stock owned by Mr. Kennedy are subject to transfer restrictions and registration rights.</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Autocam and Autocam Medical Devices, LLC, or “Autocam Medical,” entered into a transition services agreement at the closing of the Autocam acquisition. Mr. Kennedy owns a controlling interest in Autocam Medical in addition to serving as a director and its President and Chief Executive Officer. Pursuant to the terms of this transition services agreement, Autocam provides certain transition services to Autocam Medical until August 29, 2015 in consideration for monthly payments of $62,500. Autocam Medical may, in its sole discretion, extend the term of the transition services agreement for an additional twelve month period. NN and Autocam Medical are also parties to an agreement whereby NN is permitted to utilize a private aircraft owned by Autocam Medical for purposes of transporting NN executives on Company-related business. NN paid Autocam Medical approximately $79,000 for such services in 2014.</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Prior to the closing of the Autocam transaction, Autocam employed Mr. John Kennedy IV, Mr. Kennedy’s son, as Product Manager and Mrs. Nancy Kennedy, Mr. Kennedy’s wife, as Quality Auditor/Continuous Improvement Coordinator. Mr. Kennedy’s son’s employment with Autocam was terminated on December 31, 2014. Mr. Kennedy’s wife continues to be employed by Autocam on a part-time basis.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Report</w:t>
      </w:r>
    </w:p>
    <w:p>
      <w:pPr>
        <w:spacing w:after="0" w:line="12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The Company’s Annual Report on Form 10-K for the year ended December 31, 2014 is being mailed together with this Proxy Statement. Exhibits to the Annual Report on Form 10-K may be obtained by contacting the Secretary of the Company at 207 Mockingbird Lane, Johnson City, Tennessee 37604.</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92075</wp:posOffset>
            </wp:positionV>
            <wp:extent cx="1500505" cy="565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005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jc w:val="both"/>
        <w:ind w:right="500" w:firstLine="456"/>
        <w:spacing w:after="0" w:line="313" w:lineRule="auto"/>
        <w:rPr>
          <w:sz w:val="20"/>
          <w:szCs w:val="20"/>
          <w:color w:val="auto"/>
        </w:rPr>
      </w:pPr>
      <w:r>
        <w:rPr>
          <w:rFonts w:ascii="Arial" w:cs="Arial" w:eastAsia="Arial" w:hAnsi="Arial"/>
          <w:sz w:val="17"/>
          <w:szCs w:val="17"/>
          <w:b w:val="1"/>
          <w:bCs w:val="1"/>
          <w:color w:val="auto"/>
        </w:rPr>
        <w:t>STOCKHOLDERS ARE REQUESTED TO MARK, DATE AND SIGN THE ENCLOSED PROXY CARD AND RETURN IT IN THE ENCLOSED ENVELOPE. YOUR PROMPT RESPONSE WILL BE HELPFUL, AND YOUR COOPERATION WILL BE APPRECIATED.</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70"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4"/>
          <w:szCs w:val="14"/>
          <w:b w:val="1"/>
          <w:bCs w:val="1"/>
          <w:i w:val="1"/>
          <w:iCs w:val="1"/>
          <w:color w:val="auto"/>
        </w:rPr>
        <w:t>NN, INC.</w:t>
      </w:r>
    </w:p>
    <w:p>
      <w:pPr>
        <w:ind w:left="880"/>
        <w:spacing w:after="0" w:line="221" w:lineRule="auto"/>
        <w:rPr>
          <w:sz w:val="20"/>
          <w:szCs w:val="20"/>
          <w:color w:val="auto"/>
        </w:rPr>
      </w:pPr>
      <w:r>
        <w:rPr>
          <w:rFonts w:ascii="Arial" w:cs="Arial" w:eastAsia="Arial" w:hAnsi="Arial"/>
          <w:sz w:val="14"/>
          <w:szCs w:val="14"/>
          <w:b w:val="1"/>
          <w:bCs w:val="1"/>
          <w:i w:val="1"/>
          <w:iCs w:val="1"/>
          <w:color w:val="auto"/>
        </w:rPr>
        <w:t>207 MOCKINGBIRD LANE</w:t>
      </w:r>
    </w:p>
    <w:p>
      <w:pPr>
        <w:ind w:left="880"/>
        <w:spacing w:after="0"/>
        <w:rPr>
          <w:sz w:val="20"/>
          <w:szCs w:val="20"/>
          <w:color w:val="auto"/>
        </w:rPr>
      </w:pPr>
      <w:r>
        <w:rPr>
          <w:rFonts w:ascii="Arial" w:cs="Arial" w:eastAsia="Arial" w:hAnsi="Arial"/>
          <w:sz w:val="14"/>
          <w:szCs w:val="14"/>
          <w:b w:val="1"/>
          <w:bCs w:val="1"/>
          <w:i w:val="1"/>
          <w:iCs w:val="1"/>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-181610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0"/>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8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20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93" w:lineRule="exact"/>
        <w:rPr>
          <w:sz w:val="20"/>
          <w:szCs w:val="20"/>
          <w:color w:val="auto"/>
        </w:rPr>
      </w:pPr>
    </w:p>
    <w:p>
      <w:pPr>
        <w:ind w:left="2560"/>
        <w:spacing w:after="0"/>
        <w:rPr>
          <w:sz w:val="20"/>
          <w:szCs w:val="20"/>
          <w:color w:val="auto"/>
        </w:rPr>
      </w:pPr>
      <w:r>
        <w:rPr>
          <w:rFonts w:ascii="Arial" w:cs="Arial" w:eastAsia="Arial" w:hAnsi="Arial"/>
          <w:sz w:val="13"/>
          <w:szCs w:val="13"/>
          <w:color w:val="auto"/>
        </w:rPr>
        <w:t>KEEP THIS PORTION FOR YOUR RECORDS</w:t>
      </w:r>
    </w:p>
    <w:p>
      <w:pPr>
        <w:spacing w:after="0" w:line="19" w:lineRule="exact"/>
        <w:rPr>
          <w:sz w:val="20"/>
          <w:szCs w:val="20"/>
          <w:color w:val="auto"/>
        </w:rPr>
      </w:pPr>
    </w:p>
    <w:p>
      <w:pPr>
        <w:sectPr>
          <w:pgSz w:w="11900" w:h="16838" w:orient="portrait"/>
          <w:cols w:equalWidth="0" w:num="2">
            <w:col w:w="5240" w:space="720"/>
            <w:col w:w="5460"/>
          </w:cols>
          <w:pgMar w:left="240" w:top="265" w:right="239" w:bottom="1440" w:gutter="0" w:footer="0" w:header="0"/>
        </w:sectPr>
      </w:pPr>
    </w:p>
    <w:p>
      <w:pPr>
        <w:spacing w:after="0"/>
        <w:rPr>
          <w:sz w:val="20"/>
          <w:szCs w:val="20"/>
          <w:color w:val="auto"/>
        </w:rPr>
      </w:pPr>
      <w:r>
        <w:rPr>
          <w:rFonts w:ascii="Arial" w:cs="Arial" w:eastAsia="Arial" w:hAnsi="Arial"/>
          <w:sz w:val="18"/>
          <w:szCs w:val="18"/>
          <w:color w:val="auto"/>
        </w:rPr>
        <w:t>— — — — — — — — — — — — — — — — — — — — — — — — — — — — — — — — — — — — — — — — — — —</w:t>
      </w:r>
    </w:p>
    <w:p>
      <w:pPr>
        <w:jc w:val="right"/>
        <w:spacing w:after="0" w:line="222" w:lineRule="auto"/>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73660</wp:posOffset>
            </wp:positionV>
            <wp:extent cx="7160895" cy="3173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317309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type w:val="continuous"/>
        </w:sectPr>
      </w:pPr>
    </w:p>
    <w:p>
      <w:pPr>
        <w:spacing w:after="0" w:line="242"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The Board of Directors recommends you vote</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FOR the following:</w:t>
      </w:r>
    </w:p>
    <w:p>
      <w:pPr>
        <w:spacing w:after="0" w:line="59" w:lineRule="exact"/>
        <w:rPr>
          <w:sz w:val="20"/>
          <w:szCs w:val="20"/>
          <w:color w:val="auto"/>
        </w:rPr>
      </w:pPr>
    </w:p>
    <w:p>
      <w:pPr>
        <w:ind w:left="920" w:hanging="439"/>
        <w:spacing w:after="0"/>
        <w:tabs>
          <w:tab w:leader="none" w:pos="920" w:val="left"/>
        </w:tabs>
        <w:numPr>
          <w:ilvl w:val="0"/>
          <w:numId w:val="39"/>
        </w:numPr>
        <w:rPr>
          <w:rFonts w:ascii="Arial" w:cs="Arial" w:eastAsia="Arial" w:hAnsi="Arial"/>
          <w:sz w:val="29"/>
          <w:szCs w:val="29"/>
          <w:b w:val="1"/>
          <w:bCs w:val="1"/>
          <w:color w:val="auto"/>
          <w:vertAlign w:val="superscript"/>
        </w:rPr>
      </w:pPr>
      <w:r>
        <w:rPr>
          <w:rFonts w:ascii="Arial" w:cs="Arial" w:eastAsia="Arial" w:hAnsi="Arial"/>
          <w:sz w:val="14"/>
          <w:szCs w:val="14"/>
          <w:color w:val="auto"/>
        </w:rPr>
        <w:t>Election of Directors</w:t>
      </w:r>
    </w:p>
    <w:p>
      <w:pPr>
        <w:ind w:left="920"/>
        <w:spacing w:after="0"/>
        <w:rPr>
          <w:rFonts w:ascii="Arial" w:cs="Arial" w:eastAsia="Arial" w:hAnsi="Arial"/>
          <w:sz w:val="29"/>
          <w:szCs w:val="29"/>
          <w:b w:val="1"/>
          <w:bCs w:val="1"/>
          <w:color w:val="auto"/>
          <w:vertAlign w:val="superscript"/>
        </w:rPr>
      </w:pPr>
      <w:r>
        <w:rPr>
          <w:rFonts w:ascii="Arial" w:cs="Arial" w:eastAsia="Arial" w:hAnsi="Arial"/>
          <w:sz w:val="14"/>
          <w:szCs w:val="14"/>
          <w:b w:val="1"/>
          <w:bCs w:val="1"/>
          <w:color w:val="auto"/>
        </w:rPr>
        <w:t>Nominees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For All</w:t>
            </w:r>
          </w:p>
        </w:tc>
        <w:tc>
          <w:tcPr>
            <w:tcW w:w="2400" w:type="dxa"/>
            <w:vAlign w:val="bottom"/>
          </w:tcPr>
          <w:p>
            <w:pPr>
              <w:ind w:left="80"/>
              <w:spacing w:after="0"/>
              <w:rPr>
                <w:sz w:val="20"/>
                <w:szCs w:val="20"/>
                <w:color w:val="auto"/>
              </w:rPr>
            </w:pPr>
            <w:r>
              <w:rPr>
                <w:rFonts w:ascii="Arial" w:cs="Arial" w:eastAsia="Arial" w:hAnsi="Arial"/>
                <w:sz w:val="14"/>
                <w:szCs w:val="14"/>
                <w:color w:val="auto"/>
              </w:rPr>
              <w:t>To withhold authority to vote for any</w:t>
            </w:r>
          </w:p>
        </w:tc>
        <w:tc>
          <w:tcPr>
            <w:tcW w:w="0" w:type="dxa"/>
            <w:vAlign w:val="bottom"/>
          </w:tcPr>
          <w:p>
            <w:pPr>
              <w:spacing w:after="0"/>
              <w:rPr>
                <w:sz w:val="1"/>
                <w:szCs w:val="1"/>
                <w:color w:val="auto"/>
              </w:rPr>
            </w:pPr>
          </w:p>
        </w:tc>
      </w:tr>
      <w:tr>
        <w:trPr>
          <w:trHeight w:val="153"/>
        </w:trPr>
        <w:tc>
          <w:tcPr>
            <w:tcW w:w="3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All</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78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Except</w:t>
            </w:r>
          </w:p>
        </w:tc>
        <w:tc>
          <w:tcPr>
            <w:tcW w:w="2400" w:type="dxa"/>
            <w:vAlign w:val="bottom"/>
          </w:tcPr>
          <w:p>
            <w:pPr>
              <w:ind w:left="80"/>
              <w:spacing w:after="0" w:line="153" w:lineRule="exact"/>
              <w:rPr>
                <w:sz w:val="20"/>
                <w:szCs w:val="20"/>
                <w:color w:val="auto"/>
              </w:rPr>
            </w:pPr>
            <w:r>
              <w:rPr>
                <w:rFonts w:ascii="Arial" w:cs="Arial" w:eastAsia="Arial" w:hAnsi="Arial"/>
                <w:sz w:val="14"/>
                <w:szCs w:val="14"/>
                <w:color w:val="auto"/>
              </w:rPr>
              <w:t>individual nominee(s), mark “For All</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ind w:left="80"/>
              <w:spacing w:after="0" w:line="149" w:lineRule="exact"/>
              <w:rPr>
                <w:sz w:val="20"/>
                <w:szCs w:val="20"/>
                <w:color w:val="auto"/>
              </w:rPr>
            </w:pPr>
            <w:r>
              <w:rPr>
                <w:rFonts w:ascii="Arial" w:cs="Arial" w:eastAsia="Arial" w:hAnsi="Arial"/>
                <w:sz w:val="14"/>
                <w:szCs w:val="14"/>
                <w:color w:val="auto"/>
                <w:w w:val="96"/>
              </w:rPr>
              <w:t>Except” and write the number(s) of the</w:t>
            </w:r>
          </w:p>
        </w:tc>
        <w:tc>
          <w:tcPr>
            <w:tcW w:w="0" w:type="dxa"/>
            <w:vAlign w:val="bottom"/>
          </w:tcPr>
          <w:p>
            <w:pPr>
              <w:spacing w:after="0"/>
              <w:rPr>
                <w:sz w:val="1"/>
                <w:szCs w:val="1"/>
                <w:color w:val="auto"/>
              </w:rPr>
            </w:pPr>
          </w:p>
        </w:tc>
      </w:tr>
      <w:tr>
        <w:trPr>
          <w:trHeight w:val="182"/>
        </w:trPr>
        <w:tc>
          <w:tcPr>
            <w:tcW w:w="3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0" w:type="dxa"/>
            <w:vAlign w:val="bottom"/>
          </w:tcPr>
          <w:p>
            <w:pPr>
              <w:ind w:left="80"/>
              <w:spacing w:after="0"/>
              <w:rPr>
                <w:sz w:val="20"/>
                <w:szCs w:val="20"/>
                <w:color w:val="auto"/>
              </w:rPr>
            </w:pPr>
            <w:r>
              <w:rPr>
                <w:rFonts w:ascii="Arial" w:cs="Arial" w:eastAsia="Arial" w:hAnsi="Arial"/>
                <w:sz w:val="14"/>
                <w:szCs w:val="14"/>
                <w:color w:val="auto"/>
              </w:rPr>
              <w:t>nominee(s) on the line below.</w:t>
            </w:r>
          </w:p>
        </w:tc>
        <w:tc>
          <w:tcPr>
            <w:tcW w:w="0" w:type="dxa"/>
            <w:vAlign w:val="bottom"/>
          </w:tcPr>
          <w:p>
            <w:pPr>
              <w:spacing w:after="0"/>
              <w:rPr>
                <w:sz w:val="1"/>
                <w:szCs w:val="1"/>
                <w:color w:val="auto"/>
              </w:rPr>
            </w:pPr>
          </w:p>
        </w:tc>
      </w:tr>
      <w:tr>
        <w:trPr>
          <w:trHeight w:val="215"/>
        </w:trPr>
        <w:tc>
          <w:tcPr>
            <w:tcW w:w="3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ectPr>
          <w:pgSz w:w="11900" w:h="16838" w:orient="portrait"/>
          <w:cols w:equalWidth="0" w:num="2">
            <w:col w:w="4960" w:space="720"/>
            <w:col w:w="5740"/>
          </w:cols>
          <w:pgMar w:left="240" w:top="265" w:right="239" w:bottom="1440" w:gutter="0" w:footer="0" w:header="0"/>
          <w:type w:val="continuous"/>
        </w:sectPr>
      </w:pPr>
    </w:p>
    <w:p>
      <w:pPr>
        <w:ind w:left="480"/>
        <w:spacing w:after="0"/>
        <w:tabs>
          <w:tab w:leader="none" w:pos="900" w:val="left"/>
          <w:tab w:leader="none" w:pos="4200" w:val="left"/>
          <w:tab w:leader="none" w:pos="4640" w:val="left"/>
          <w:tab w:leader="none" w:pos="7460" w:val="left"/>
          <w:tab w:leader="none" w:pos="7900" w:val="left"/>
        </w:tabs>
        <w:rPr>
          <w:sz w:val="20"/>
          <w:szCs w:val="20"/>
          <w:color w:val="auto"/>
        </w:rPr>
      </w:pPr>
      <w:r>
        <w:rPr>
          <w:rFonts w:ascii="Arial" w:cs="Arial" w:eastAsia="Arial" w:hAnsi="Arial"/>
          <w:sz w:val="14"/>
          <w:szCs w:val="14"/>
          <w:color w:val="auto"/>
        </w:rPr>
        <w:t>01</w:t>
      </w:r>
      <w:r>
        <w:rPr>
          <w:sz w:val="20"/>
          <w:szCs w:val="20"/>
          <w:color w:val="auto"/>
        </w:rPr>
        <w:tab/>
      </w:r>
      <w:r>
        <w:rPr>
          <w:rFonts w:ascii="Arial" w:cs="Arial" w:eastAsia="Arial" w:hAnsi="Arial"/>
          <w:sz w:val="14"/>
          <w:szCs w:val="14"/>
          <w:color w:val="auto"/>
        </w:rPr>
        <w:t>Robert E. Brunner</w:t>
      </w:r>
      <w:r>
        <w:rPr>
          <w:sz w:val="20"/>
          <w:szCs w:val="20"/>
          <w:color w:val="auto"/>
        </w:rPr>
        <w:tab/>
      </w:r>
      <w:r>
        <w:rPr>
          <w:rFonts w:ascii="Arial" w:cs="Arial" w:eastAsia="Arial" w:hAnsi="Arial"/>
          <w:sz w:val="14"/>
          <w:szCs w:val="14"/>
          <w:color w:val="auto"/>
        </w:rPr>
        <w:t>02</w:t>
      </w:r>
      <w:r>
        <w:rPr>
          <w:sz w:val="20"/>
          <w:szCs w:val="20"/>
          <w:color w:val="auto"/>
        </w:rPr>
        <w:tab/>
      </w:r>
      <w:r>
        <w:rPr>
          <w:rFonts w:ascii="Arial" w:cs="Arial" w:eastAsia="Arial" w:hAnsi="Arial"/>
          <w:sz w:val="14"/>
          <w:szCs w:val="14"/>
          <w:color w:val="auto"/>
        </w:rPr>
        <w:t>Richard D. Holder</w:t>
      </w:r>
      <w:r>
        <w:rPr>
          <w:sz w:val="20"/>
          <w:szCs w:val="20"/>
          <w:color w:val="auto"/>
        </w:rPr>
        <w:tab/>
      </w:r>
      <w:r>
        <w:rPr>
          <w:rFonts w:ascii="Arial" w:cs="Arial" w:eastAsia="Arial" w:hAnsi="Arial"/>
          <w:sz w:val="14"/>
          <w:szCs w:val="14"/>
          <w:color w:val="auto"/>
        </w:rPr>
        <w:t>03</w:t>
      </w:r>
      <w:r>
        <w:rPr>
          <w:sz w:val="20"/>
          <w:szCs w:val="20"/>
          <w:color w:val="auto"/>
        </w:rPr>
        <w:tab/>
      </w:r>
      <w:r>
        <w:rPr>
          <w:rFonts w:ascii="Arial" w:cs="Arial" w:eastAsia="Arial" w:hAnsi="Arial"/>
          <w:sz w:val="13"/>
          <w:szCs w:val="13"/>
          <w:color w:val="auto"/>
        </w:rPr>
        <w:t>David L. Pugh</w:t>
      </w:r>
    </w:p>
    <w:p>
      <w:pPr>
        <w:spacing w:after="0" w:line="200"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ind w:left="920" w:hanging="439"/>
        <w:spacing w:after="0" w:line="232" w:lineRule="auto"/>
        <w:tabs>
          <w:tab w:leader="none" w:pos="920" w:val="left"/>
        </w:tabs>
        <w:numPr>
          <w:ilvl w:val="0"/>
          <w:numId w:val="40"/>
        </w:numPr>
        <w:rPr>
          <w:rFonts w:ascii="Arial" w:cs="Arial" w:eastAsia="Arial" w:hAnsi="Arial"/>
          <w:sz w:val="29"/>
          <w:szCs w:val="29"/>
          <w:b w:val="1"/>
          <w:bCs w:val="1"/>
          <w:color w:val="auto"/>
          <w:vertAlign w:val="superscript"/>
        </w:rPr>
      </w:pPr>
      <w:r>
        <w:rPr>
          <w:rFonts w:ascii="Arial" w:cs="Arial" w:eastAsia="Arial" w:hAnsi="Arial"/>
          <w:sz w:val="14"/>
          <w:szCs w:val="14"/>
          <w:color w:val="auto"/>
        </w:rPr>
        <w:t>Advisory vote to approve the compensation of the named executive officers of NN, Inc.</w:t>
      </w:r>
    </w:p>
    <w:p>
      <w:pPr>
        <w:spacing w:after="0" w:line="86" w:lineRule="exact"/>
        <w:rPr>
          <w:sz w:val="20"/>
          <w:szCs w:val="20"/>
          <w:color w:val="auto"/>
        </w:rPr>
      </w:pPr>
    </w:p>
    <w:p>
      <w:pPr>
        <w:ind w:left="920" w:hanging="439"/>
        <w:spacing w:after="0"/>
        <w:tabs>
          <w:tab w:leader="none" w:pos="920"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For ratification of the selection of PRICEWATERHOUSECOOPERS LLP as registered independent public accounting firm.</w:t>
      </w:r>
    </w:p>
    <w:p>
      <w:pPr>
        <w:spacing w:after="0" w:line="174" w:lineRule="exact"/>
        <w:rPr>
          <w:sz w:val="20"/>
          <w:szCs w:val="20"/>
          <w:color w:val="auto"/>
        </w:rPr>
      </w:pPr>
    </w:p>
    <w:p>
      <w:pPr>
        <w:ind w:left="480" w:right="620"/>
        <w:spacing w:after="0" w:line="259"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85725" cy="10121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012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tabs>
          <w:tab w:leader="none" w:pos="840" w:val="left"/>
          <w:tab w:leader="none" w:pos="14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44" w:lineRule="exact"/>
        <w:rPr>
          <w:sz w:val="20"/>
          <w:szCs w:val="20"/>
          <w:color w:val="auto"/>
        </w:rPr>
      </w:pPr>
    </w:p>
    <w:p>
      <w:pPr>
        <w:ind w:left="40"/>
        <w:spacing w:after="0" w:line="181" w:lineRule="exact"/>
        <w:tabs>
          <w:tab w:leader="none" w:pos="980" w:val="left"/>
          <w:tab w:leader="none" w:pos="16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44" w:lineRule="exact"/>
        <w:rPr>
          <w:sz w:val="20"/>
          <w:szCs w:val="20"/>
          <w:color w:val="auto"/>
        </w:rPr>
      </w:pPr>
    </w:p>
    <w:p>
      <w:pPr>
        <w:ind w:left="40"/>
        <w:spacing w:after="0" w:line="181" w:lineRule="exact"/>
        <w:tabs>
          <w:tab w:leader="none" w:pos="980" w:val="left"/>
          <w:tab w:leader="none" w:pos="16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742" w:lineRule="exact"/>
        <w:rPr>
          <w:sz w:val="20"/>
          <w:szCs w:val="20"/>
          <w:color w:val="auto"/>
        </w:rPr>
      </w:pPr>
    </w:p>
    <w:p>
      <w:pPr>
        <w:sectPr>
          <w:pgSz w:w="11900" w:h="16838" w:orient="portrait"/>
          <w:cols w:equalWidth="0" w:num="2">
            <w:col w:w="8760" w:space="540"/>
            <w:col w:w="2120"/>
          </w:cols>
          <w:pgMar w:left="240" w:top="2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0" w:right="2940"/>
        <w:spacing w:after="0" w:line="238" w:lineRule="auto"/>
        <w:rPr>
          <w:sz w:val="20"/>
          <w:szCs w:val="20"/>
          <w:color w:val="auto"/>
        </w:rPr>
      </w:pPr>
      <w:r>
        <w:rPr>
          <w:rFonts w:ascii="Arial" w:cs="Arial" w:eastAsia="Arial" w:hAnsi="Arial"/>
          <w:sz w:val="14"/>
          <w:szCs w:val="14"/>
          <w:color w:val="auto"/>
        </w:rPr>
        <w:t>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114" w:lineRule="exact"/>
        <w:rPr>
          <w:sz w:val="20"/>
          <w:szCs w:val="20"/>
          <w:color w:val="auto"/>
        </w:rPr>
      </w:pPr>
    </w:p>
    <w:tbl>
      <w:tblPr>
        <w:tblLayout w:type="fixed"/>
        <w:tblInd w:w="340" w:type="dxa"/>
        <w:tblCellMar>
          <w:top w:w="0" w:type="dxa"/>
          <w:left w:w="0" w:type="dxa"/>
          <w:bottom w:w="0" w:type="dxa"/>
          <w:right w:w="0" w:type="dxa"/>
        </w:tblCellMar>
      </w:tblPr>
      <w:tr>
        <w:trPr>
          <w:trHeight w:val="318"/>
        </w:trPr>
        <w:tc>
          <w:tcPr>
            <w:tcW w:w="60" w:type="dxa"/>
            <w:vAlign w:val="bottom"/>
            <w:tcBorders>
              <w:right w:val="single" w:sz="8" w:color="auto"/>
            </w:tcBorders>
          </w:tcPr>
          <w:p>
            <w:pPr>
              <w:spacing w:after="0"/>
              <w:rPr>
                <w:sz w:val="24"/>
                <w:szCs w:val="24"/>
                <w:color w:val="auto"/>
              </w:rPr>
            </w:pPr>
          </w:p>
        </w:tc>
        <w:tc>
          <w:tcPr>
            <w:tcW w:w="3740" w:type="dxa"/>
            <w:vAlign w:val="bottom"/>
            <w:tcBorders>
              <w:top w:val="single" w:sz="8" w:color="auto"/>
              <w:bottom w:val="single" w:sz="8" w:color="auto"/>
              <w:right w:val="single" w:sz="8" w:color="auto"/>
            </w:tcBorders>
          </w:tcPr>
          <w:p>
            <w:pPr>
              <w:spacing w:after="0"/>
              <w:rPr>
                <w:sz w:val="24"/>
                <w:szCs w:val="24"/>
                <w:color w:val="auto"/>
              </w:rPr>
            </w:pPr>
          </w:p>
        </w:tc>
        <w:tc>
          <w:tcPr>
            <w:tcW w:w="960" w:type="dxa"/>
            <w:vAlign w:val="bottom"/>
            <w:tcBorders>
              <w:top w:val="single" w:sz="8" w:color="auto"/>
              <w:bottom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2620" w:type="dxa"/>
            <w:vAlign w:val="bottom"/>
            <w:tcBorders>
              <w:top w:val="single" w:sz="8" w:color="auto"/>
              <w:bottom w:val="single" w:sz="8" w:color="auto"/>
              <w:right w:val="single" w:sz="8" w:color="auto"/>
            </w:tcBorders>
          </w:tcPr>
          <w:p>
            <w:pPr>
              <w:spacing w:after="0"/>
              <w:rPr>
                <w:sz w:val="24"/>
                <w:szCs w:val="24"/>
                <w:color w:val="auto"/>
              </w:rPr>
            </w:pPr>
          </w:p>
        </w:tc>
        <w:tc>
          <w:tcPr>
            <w:tcW w:w="2140" w:type="dxa"/>
            <w:vAlign w:val="bottom"/>
            <w:tcBorders>
              <w:top w:val="single" w:sz="8" w:color="auto"/>
              <w:bottom w:val="single" w:sz="8" w:color="auto"/>
              <w:right w:val="single" w:sz="8" w:color="auto"/>
            </w:tcBorders>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Signature [PLEASE SIGN WITHIN BOX]</w:t>
            </w:r>
          </w:p>
        </w:tc>
        <w:tc>
          <w:tcPr>
            <w:tcW w:w="960" w:type="dxa"/>
            <w:vAlign w:val="bottom"/>
          </w:tcPr>
          <w:p>
            <w:pPr>
              <w:ind w:left="80"/>
              <w:spacing w:after="0"/>
              <w:rPr>
                <w:sz w:val="20"/>
                <w:szCs w:val="20"/>
                <w:color w:val="auto"/>
              </w:rPr>
            </w:pPr>
            <w:r>
              <w:rPr>
                <w:rFonts w:ascii="Arial" w:cs="Arial" w:eastAsia="Arial" w:hAnsi="Arial"/>
                <w:sz w:val="14"/>
                <w:szCs w:val="14"/>
                <w:color w:val="auto"/>
              </w:rPr>
              <w:t>Date</w:t>
            </w:r>
          </w:p>
        </w:tc>
        <w:tc>
          <w:tcPr>
            <w:tcW w:w="820" w:type="dxa"/>
            <w:vAlign w:val="bottom"/>
          </w:tcPr>
          <w:p>
            <w:pPr>
              <w:spacing w:after="0"/>
              <w:rPr>
                <w:sz w:val="15"/>
                <w:szCs w:val="15"/>
                <w:color w:val="auto"/>
              </w:rPr>
            </w:pPr>
          </w:p>
        </w:tc>
        <w:tc>
          <w:tcPr>
            <w:tcW w:w="2620" w:type="dxa"/>
            <w:vAlign w:val="bottom"/>
          </w:tcPr>
          <w:p>
            <w:pPr>
              <w:ind w:left="80"/>
              <w:spacing w:after="0"/>
              <w:rPr>
                <w:sz w:val="20"/>
                <w:szCs w:val="20"/>
                <w:color w:val="auto"/>
              </w:rPr>
            </w:pPr>
            <w:r>
              <w:rPr>
                <w:rFonts w:ascii="Arial" w:cs="Arial" w:eastAsia="Arial" w:hAnsi="Arial"/>
                <w:sz w:val="14"/>
                <w:szCs w:val="14"/>
                <w:color w:val="auto"/>
              </w:rPr>
              <w:t>Signature (Joint Owners)</w:t>
            </w:r>
          </w:p>
        </w:tc>
        <w:tc>
          <w:tcPr>
            <w:tcW w:w="2140" w:type="dxa"/>
            <w:vAlign w:val="bottom"/>
          </w:tcPr>
          <w:p>
            <w:pPr>
              <w:ind w:left="280"/>
              <w:spacing w:after="0"/>
              <w:rPr>
                <w:sz w:val="20"/>
                <w:szCs w:val="20"/>
                <w:color w:val="auto"/>
              </w:rPr>
            </w:pPr>
            <w:r>
              <w:rPr>
                <w:rFonts w:ascii="Arial" w:cs="Arial" w:eastAsia="Arial" w:hAnsi="Arial"/>
                <w:sz w:val="14"/>
                <w:szCs w:val="14"/>
                <w:color w:val="auto"/>
              </w:rPr>
              <w:t>Date</w:t>
            </w:r>
          </w:p>
        </w:tc>
      </w:tr>
    </w:tbl>
    <w:p>
      <w:pPr>
        <w:sectPr>
          <w:pgSz w:w="11900" w:h="16838" w:orient="portrait"/>
          <w:cols w:equalWidth="0" w:num="1">
            <w:col w:w="11420"/>
          </w:cols>
          <w:pgMar w:left="240" w:top="265" w:right="23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ind w:left="60"/>
        <w:spacing w:after="0"/>
        <w:rPr>
          <w:sz w:val="20"/>
          <w:szCs w:val="20"/>
          <w:color w:val="auto"/>
        </w:rPr>
      </w:pPr>
      <w:r>
        <w:rPr>
          <w:rFonts w:ascii="Arial" w:cs="Arial" w:eastAsia="Arial" w:hAnsi="Arial"/>
          <w:sz w:val="18"/>
          <w:szCs w:val="18"/>
          <w:color w:val="auto"/>
        </w:rPr>
        <w:t>—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54875" cy="3112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3112770"/>
                    </a:xfrm>
                    <a:prstGeom prst="rect">
                      <a:avLst/>
                    </a:prstGeom>
                    <a:noFill/>
                  </pic:spPr>
                </pic:pic>
              </a:graphicData>
            </a:graphic>
          </wp:anchor>
        </w:drawing>
      </w:r>
    </w:p>
    <w:p>
      <w:pPr>
        <w:spacing w:after="0" w:line="362"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Johnson City, TN 37604</w:t>
      </w:r>
    </w:p>
    <w:p>
      <w:pPr>
        <w:spacing w:after="0" w:line="234" w:lineRule="exact"/>
        <w:rPr>
          <w:sz w:val="20"/>
          <w:szCs w:val="20"/>
          <w:color w:val="auto"/>
        </w:rPr>
      </w:pPr>
    </w:p>
    <w:p>
      <w:pPr>
        <w:ind w:left="620" w:right="300"/>
        <w:spacing w:after="0" w:line="282" w:lineRule="auto"/>
        <w:rPr>
          <w:sz w:val="20"/>
          <w:szCs w:val="20"/>
          <w:color w:val="auto"/>
        </w:rPr>
      </w:pPr>
      <w:r>
        <w:rPr>
          <w:rFonts w:ascii="Arial" w:cs="Arial" w:eastAsia="Arial" w:hAnsi="Arial"/>
          <w:sz w:val="18"/>
          <w:szCs w:val="18"/>
          <w:b w:val="1"/>
          <w:bCs w:val="1"/>
          <w:color w:val="auto"/>
        </w:rPr>
        <w:t>SOLICITED BY THE BOARD OF DIRECTORS FOR THE ANNUAL MEETING OF STOCKHOLDERS TO BE HELD ON MAY 14, 2015, AT Fort Lauderdale Marriott Harbor Beach Resort 3030 Holiday Drive, Fort Lauderdale, Florida 33316.</w:t>
      </w:r>
    </w:p>
    <w:p>
      <w:pPr>
        <w:spacing w:after="0" w:line="193" w:lineRule="exact"/>
        <w:rPr>
          <w:sz w:val="20"/>
          <w:szCs w:val="20"/>
          <w:color w:val="auto"/>
        </w:rPr>
      </w:pPr>
    </w:p>
    <w:p>
      <w:pPr>
        <w:ind w:left="620" w:right="120"/>
        <w:spacing w:after="0" w:line="264" w:lineRule="auto"/>
        <w:rPr>
          <w:sz w:val="20"/>
          <w:szCs w:val="20"/>
          <w:color w:val="auto"/>
        </w:rPr>
      </w:pPr>
      <w:r>
        <w:rPr>
          <w:rFonts w:ascii="Arial" w:cs="Arial" w:eastAsia="Arial" w:hAnsi="Arial"/>
          <w:sz w:val="18"/>
          <w:szCs w:val="18"/>
          <w:color w:val="auto"/>
        </w:rPr>
        <w:t>The undersigned stockholder hereby appoints William C. Kelly, Jr. and James H. Dorton,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204" w:lineRule="exact"/>
        <w:rPr>
          <w:sz w:val="20"/>
          <w:szCs w:val="20"/>
          <w:color w:val="auto"/>
        </w:rPr>
      </w:pPr>
    </w:p>
    <w:p>
      <w:pPr>
        <w:ind w:left="620" w:right="200"/>
        <w:spacing w:after="0" w:line="258"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THIS PROXY WILL BE VOTED “FOR ALL” NOMINEES IN ITEM 1 AND “FOR” IN ITEMS 2 AND 3 AND WITH RESPECT TO ANY OTHER BUSINESS AS MAY PROPERLY BE BROUGHT BEFORE THE ANNUAL MEETING AND ANY ADJOURNMENT THEREOF, IN ACCORDANCE WITH THE JUDGMENT OF THE PERSON OR PERSONS VOTING ON SUCH MATTER OR MATTERS.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lvl w:ilvl="1">
      <w:lvlJc w:val="left"/>
      <w:lvlText w:val="(%2)"/>
      <w:numFmt w:val="decimal"/>
      <w:start w:val="1"/>
    </w:lvl>
  </w:abstractNum>
  <w:abstractNum w:abstractNumId="5">
    <w:nsid w:val="6763845E"/>
    <w:multiLevelType w:val="hybridMultilevel"/>
    <w:lvl w:ilvl="0">
      <w:lvlJc w:val="left"/>
      <w:lvlText w:val="(%1)"/>
      <w:numFmt w:val="lowerRoman"/>
      <w:start w:val="4"/>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3"/>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2"/>
      <w:numFmt w:val="bullet"/>
      <w:start w:val="1"/>
    </w:lvl>
  </w:abstractNum>
  <w:abstractNum w:abstractNumId="40">
    <w:nsid w:val="153EA43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2019-12-06T11:16:21Z</dcterms:created>
  <dcterms:modified xsi:type="dcterms:W3CDTF">2019-12-06T11:16:21Z</dcterms:modified>
</cp:coreProperties>
</file>