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6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40"/>
        <w:spacing w:after="0" w:line="20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599440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6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was held on May 15, 2025. As of March 17, 2025, the record date for the Annual Meeting, a total of 49,869,511 shares of the Company’s common stock were outstanding and entitled to vote on all matters presented to the Company’s stockholders at the Annual Meeting. At the Annual Meeting, the Company’s stockholders considered the following proposals:</w:t>
      </w:r>
    </w:p>
    <w:p>
      <w:pPr>
        <w:spacing w:after="0" w:line="68"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for a term of one year;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the Company’s named executive officers; and</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the Company’s registered independent public accounting firm for the fiscal year ending December 31, 2025.</w:t>
      </w: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Seven directors were elected to serve for a term of one year. The results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43"/>
        </w:trPr>
        <w:tc>
          <w:tcPr>
            <w:tcW w:w="4080" w:type="dxa"/>
            <w:vAlign w:val="bottom"/>
            <w:gridSpan w:val="2"/>
            <w:vMerge w:val="continue"/>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31,039,203</w:t>
            </w:r>
          </w:p>
        </w:tc>
        <w:tc>
          <w:tcPr>
            <w:tcW w:w="2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285,285</w:t>
            </w:r>
          </w:p>
        </w:tc>
        <w:tc>
          <w:tcPr>
            <w:tcW w:w="2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2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31,233,714</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87,114</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30,629,387</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695,108</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30,916,477</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382,811</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41,105</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30,961,504</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362,941</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30,631,560</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692,935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30,811,548</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512,940</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12,961,023</w:t>
            </w: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w:t>
      </w:r>
    </w:p>
    <w:p>
      <w:pPr>
        <w:spacing w:after="0" w:line="119" w:lineRule="exact"/>
        <w:rPr>
          <w:sz w:val="20"/>
          <w:szCs w:val="20"/>
          <w:color w:val="auto"/>
        </w:rPr>
      </w:pPr>
    </w:p>
    <w:p>
      <w:pPr>
        <w:ind w:right="940" w:firstLine="648"/>
        <w:spacing w:after="0" w:line="271" w:lineRule="auto"/>
        <w:rPr>
          <w:sz w:val="20"/>
          <w:szCs w:val="20"/>
          <w:color w:val="auto"/>
        </w:rPr>
      </w:pPr>
      <w:r>
        <w:rPr>
          <w:rFonts w:ascii="Times New Roman" w:cs="Times New Roman" w:eastAsia="Times New Roman" w:hAnsi="Times New Roman"/>
          <w:sz w:val="18"/>
          <w:szCs w:val="18"/>
          <w:color w:val="auto"/>
        </w:rPr>
        <w:t>The advisory (non-binding) vote on the executive compensation of the Company’s named executive officers was in favor of executive compensation.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29,148,423</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1,684,115</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507,855</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12,961,023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w:t>
      </w:r>
    </w:p>
    <w:p>
      <w:pPr>
        <w:spacing w:after="0" w:line="119"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18"/>
          <w:szCs w:val="18"/>
          <w:color w:val="auto"/>
        </w:rPr>
        <w:t>The Audit Committee’s selection of Grant Thornton LLP as the Company’s registered independent public accounting firm for the fiscal year ending December 31, 2025 was ratified.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23"/>
        </w:trPr>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43,765,676</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263,041</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272,699</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180" w:type="dxa"/>
            <w:vAlign w:val="bottom"/>
          </w:tcPr>
          <w:p>
            <w:pPr>
              <w:spacing w:after="0"/>
              <w:rPr>
                <w:sz w:val="10"/>
                <w:szCs w:val="10"/>
                <w:color w:val="auto"/>
              </w:rPr>
            </w:pPr>
          </w:p>
        </w:tc>
        <w:tc>
          <w:tcPr>
            <w:tcW w:w="10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2"/>
                <w:szCs w:val="22"/>
                <w:color w:val="auto"/>
              </w:rPr>
            </w:pPr>
          </w:p>
        </w:tc>
        <w:tc>
          <w:tcPr>
            <w:tcW w:w="10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15, 2025</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9220"/>
      </w:cols>
      <w:pgMar w:left="1340" w:top="88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2025-05-15T15:26:45Z</dcterms:created>
  <dcterms:modified xsi:type="dcterms:W3CDTF">2025-05-15T15:26:45Z</dcterms:modified>
</cp:coreProperties>
</file>