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SCHEDULE 14A INFORMATION</w:t>
      </w:r>
    </w:p>
    <w:p>
      <w:pPr>
        <w:spacing w:after="0" w:line="180"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5" w:lineRule="exact"/>
        <w:rPr>
          <w:sz w:val="24"/>
          <w:szCs w:val="24"/>
          <w:color w:val="auto"/>
        </w:rPr>
      </w:pPr>
    </w:p>
    <w:p>
      <w:pPr>
        <w:ind w:left="1087"/>
        <w:spacing w:after="0"/>
        <w:tabs>
          <w:tab w:leader="none" w:pos="5986"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the Registrant /X/</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4" w:lineRule="exact"/>
        <w:rPr>
          <w:rFonts w:ascii="Courier New" w:cs="Courier New" w:eastAsia="Courier New" w:hAnsi="Courier New"/>
          <w:sz w:val="15"/>
          <w:szCs w:val="15"/>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w:t>
      </w:r>
    </w:p>
    <w:p>
      <w:pPr>
        <w:spacing w:after="0" w:line="5"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14a-6(e)(2))</w:t>
      </w:r>
    </w:p>
    <w:p>
      <w:pPr>
        <w:spacing w:after="0" w:line="5" w:lineRule="exact"/>
        <w:rPr>
          <w:sz w:val="24"/>
          <w:szCs w:val="24"/>
          <w:color w:val="auto"/>
        </w:rPr>
      </w:pPr>
    </w:p>
    <w:p>
      <w:pPr>
        <w:ind w:left="367"/>
        <w:spacing w:after="0"/>
        <w:tabs>
          <w:tab w:leader="none" w:pos="806" w:val="left"/>
        </w:tabs>
        <w:rPr>
          <w:sz w:val="20"/>
          <w:szCs w:val="20"/>
          <w:color w:val="auto"/>
        </w:rPr>
      </w:pPr>
      <w:r>
        <w:rPr>
          <w:rFonts w:ascii="Courier New" w:cs="Courier New" w:eastAsia="Courier New" w:hAnsi="Courier New"/>
          <w:sz w:val="15"/>
          <w:szCs w:val="15"/>
          <w:color w:val="auto"/>
        </w:rPr>
        <w:t>/X/</w:t>
        <w:tab/>
        <w:t>Definitive Proxy Statement</w:t>
      </w:r>
    </w:p>
    <w:p>
      <w:pPr>
        <w:spacing w:after="0" w:line="5" w:lineRule="exact"/>
        <w:rPr>
          <w:sz w:val="24"/>
          <w:szCs w:val="24"/>
          <w:color w:val="auto"/>
        </w:rPr>
      </w:pPr>
    </w:p>
    <w:p>
      <w:pPr>
        <w:ind w:left="547" w:hanging="183"/>
        <w:spacing w:after="0"/>
        <w:tabs>
          <w:tab w:leader="none" w:pos="547"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827" w:right="3599" w:hanging="463"/>
        <w:spacing w:after="0" w:line="247" w:lineRule="auto"/>
        <w:tabs>
          <w:tab w:leader="none" w:pos="554"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 240.14a-11(c) or Section 240.14a-12</w:t>
      </w:r>
    </w:p>
    <w:p>
      <w:pPr>
        <w:spacing w:after="0" w:line="174" w:lineRule="exact"/>
        <w:rPr>
          <w:rFonts w:ascii="Courier New" w:cs="Courier New" w:eastAsia="Courier New" w:hAnsi="Courier New"/>
          <w:sz w:val="15"/>
          <w:szCs w:val="15"/>
          <w:color w:val="auto"/>
        </w:rPr>
      </w:pPr>
    </w:p>
    <w:p>
      <w:pPr>
        <w:ind w:left="2727" w:hanging="273"/>
        <w:spacing w:after="0"/>
        <w:tabs>
          <w:tab w:leader="none" w:pos="2727" w:val="left"/>
        </w:tabs>
        <w:numPr>
          <w:ilvl w:val="2"/>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/X/</w:t>
        <w:tab/>
        <w:t>No fee required</w:t>
      </w:r>
    </w:p>
    <w:p>
      <w:pPr>
        <w:spacing w:after="0" w:line="180" w:lineRule="exact"/>
        <w:rPr>
          <w:sz w:val="24"/>
          <w:szCs w:val="24"/>
          <w:color w:val="auto"/>
        </w:rPr>
      </w:pPr>
    </w:p>
    <w:p>
      <w:pPr>
        <w:ind w:left="447" w:right="4139" w:hanging="447"/>
        <w:spacing w:after="0" w:line="247" w:lineRule="auto"/>
        <w:tabs>
          <w:tab w:leader="none" w:pos="1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right="3219" w:hanging="363"/>
        <w:spacing w:after="0" w:line="247" w:lineRule="auto"/>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9" w:lineRule="exact"/>
        <w:rPr>
          <w:rFonts w:ascii="Courier New" w:cs="Courier New" w:eastAsia="Courier New" w:hAnsi="Courier New"/>
          <w:sz w:val="15"/>
          <w:szCs w:val="15"/>
          <w:color w:val="auto"/>
        </w:rPr>
      </w:pPr>
    </w:p>
    <w:p>
      <w:pPr>
        <w:ind w:left="367" w:right="3039" w:hanging="367"/>
        <w:spacing w:after="0" w:line="246"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409" w:right="1440" w:bottom="1440" w:gutter="0" w:footer="0" w:header="0"/>
        </w:sectPr>
      </w:pPr>
    </w:p>
    <w:bookmarkStart w:id="1" w:name="page2"/>
    <w:bookmarkEnd w:id="1"/>
    <w:p>
      <w:pPr>
        <w:jc w:val="center"/>
        <w:ind w:right="2959"/>
        <w:spacing w:after="0"/>
        <w:rPr>
          <w:sz w:val="20"/>
          <w:szCs w:val="20"/>
          <w:color w:val="auto"/>
        </w:rPr>
      </w:pPr>
      <w:r>
        <w:rPr>
          <w:rFonts w:ascii="Courier New" w:cs="Courier New" w:eastAsia="Courier New" w:hAnsi="Courier New"/>
          <w:sz w:val="15"/>
          <w:szCs w:val="15"/>
          <w:color w:val="auto"/>
        </w:rPr>
        <w:t>NN BALL &amp; ROLLER, INC.</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800 TENNESSEE ROAD</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ERWIN, TN 37650</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Notice is hereby given that the Annual Meeting of Stockholders of NN Ball &amp; Roller, Inc., a Delaware corporation, will be held on May 11, 2000, at 10:00 a.m., local time, at the Renaissance Charlotte Suites Hotel, 2800 Coliseum Centre Drive, Charlotte, North Carolina, 28217, for the following purposes:</w:t>
      </w:r>
    </w:p>
    <w:p>
      <w:pPr>
        <w:spacing w:after="0" w:line="177" w:lineRule="exact"/>
        <w:rPr>
          <w:sz w:val="20"/>
          <w:szCs w:val="20"/>
          <w:color w:val="auto"/>
        </w:rPr>
      </w:pPr>
    </w:p>
    <w:p>
      <w:pPr>
        <w:ind w:left="820" w:right="3219" w:hanging="463"/>
        <w:spacing w:after="0" w:line="247" w:lineRule="auto"/>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that the stockholders approve an amendment to the Company's Certificate of Incorporation.</w:t>
      </w:r>
    </w:p>
    <w:p>
      <w:pPr>
        <w:spacing w:after="0" w:line="174" w:lineRule="exact"/>
        <w:rPr>
          <w:rFonts w:ascii="Courier New" w:cs="Courier New" w:eastAsia="Courier New" w:hAnsi="Courier New"/>
          <w:sz w:val="15"/>
          <w:szCs w:val="15"/>
          <w:color w:val="auto"/>
        </w:rPr>
      </w:pPr>
    </w:p>
    <w:p>
      <w:pPr>
        <w:ind w:left="820" w:right="3319" w:hanging="463"/>
        <w:spacing w:after="0" w:line="247" w:lineRule="auto"/>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Class III directors, each to serve for a term of three years;</w:t>
      </w:r>
    </w:p>
    <w:p>
      <w:pPr>
        <w:spacing w:after="0" w:line="174" w:lineRule="exact"/>
        <w:rPr>
          <w:rFonts w:ascii="Courier New" w:cs="Courier New" w:eastAsia="Courier New" w:hAnsi="Courier New"/>
          <w:sz w:val="15"/>
          <w:szCs w:val="15"/>
          <w:color w:val="auto"/>
        </w:rPr>
      </w:pPr>
    </w:p>
    <w:p>
      <w:pPr>
        <w:jc w:val="both"/>
        <w:ind w:left="820" w:right="3219" w:hanging="463"/>
        <w:spacing w:after="0" w:line="247" w:lineRule="auto"/>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that the stockholders ratify the selection of PricewaterhouseCoopers LLP as the Company's independent auditor for the fiscal year ending December 31, 2000; and</w:t>
      </w:r>
    </w:p>
    <w:p>
      <w:pPr>
        <w:spacing w:after="0" w:line="174" w:lineRule="exact"/>
        <w:rPr>
          <w:rFonts w:ascii="Courier New" w:cs="Courier New" w:eastAsia="Courier New" w:hAnsi="Courier New"/>
          <w:sz w:val="15"/>
          <w:szCs w:val="15"/>
          <w:color w:val="auto"/>
        </w:rPr>
      </w:pPr>
    </w:p>
    <w:p>
      <w:pPr>
        <w:ind w:left="820" w:hanging="463"/>
        <w:spacing w:after="0"/>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conduct such other business as properly may come before the meeting.</w:t>
      </w:r>
    </w:p>
    <w:p>
      <w:pPr>
        <w:spacing w:after="0" w:line="17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RECOMMENDS A VOTE FOR THESE PROPOSALS.</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Details regarding these matters are contained in the accompanying Proxy Statement.</w:t>
      </w:r>
    </w:p>
    <w:p>
      <w:pPr>
        <w:spacing w:after="0" w:line="17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Holders of record of the Common Stock at the close of business on March 20, 2000, are entitled to notice of and to vote at the Annual Meeting.</w:t>
      </w:r>
    </w:p>
    <w:p>
      <w:pPr>
        <w:spacing w:after="0" w:line="17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Please mark, date and sign the enclosed proxy card and return it in the envelope provided. You may revoke your proxy at any time before the votes are cast at the Annual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Kelly,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Erwin, Tennessee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10, 2000</w:t>
      </w:r>
    </w:p>
    <w:p>
      <w:pPr>
        <w:sectPr>
          <w:pgSz w:w="11900" w:h="16838" w:orient="portrait"/>
          <w:cols w:equalWidth="0" w:num="1">
            <w:col w:w="10219"/>
          </w:cols>
          <w:pgMar w:left="240" w:top="6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April 10,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You are cordially invited to attend the 2000 Annual Meeting of NN Ball &amp; Roller, Inc., which will be held on May 11, 2000 at 10:00 a.m., local time, at the Renaissance Charlotte Suites Hotel, 2800 Coliseum Centre Drive, Charlotte, North Carolina, 28217.</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business to be conducted at the Annual Meeting is described in the attached Notice of Meeting and Proxy Statement. You are urged to read the Proxy Statement carefully before completing the enclosed proxy card. The Annual Meeting will include a report on the affairs of the Company presented by management and an opportunity for questions and comments by stockholders.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D. Ennen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ectPr>
          <w:pgSz w:w="11900" w:h="16838" w:orient="portrait"/>
          <w:cols w:equalWidth="0" w:num="1">
            <w:col w:w="10219"/>
          </w:cols>
          <w:pgMar w:left="240" w:top="643" w:right="1440" w:bottom="1440" w:gutter="0" w:footer="0" w:header="0"/>
        </w:sectPr>
      </w:pPr>
    </w:p>
    <w:bookmarkStart w:id="3" w:name="page4"/>
    <w:bookmarkEnd w:id="3"/>
    <w:p>
      <w:pPr>
        <w:ind w:left="3000" w:right="5599" w:hanging="371"/>
        <w:spacing w:after="0" w:line="493" w:lineRule="auto"/>
        <w:tabs>
          <w:tab w:leader="none" w:pos="290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PROXY STATEMENT</w:t>
      </w:r>
    </w:p>
    <w:p>
      <w:pPr>
        <w:spacing w:after="0" w:line="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2000 ANNUAL MEETING OF STOCKHOLDERS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Proxies are being solicited by the Board of Directors of NN Ball &amp; Roller, Inc. (the "Company"), in connection with the annual meeting of stockholders to be held on May 11, 2000 at the RENAISSANCE CHARLOTTE SUITES HOTEL, 2800 COLISEUM CENTRE DRIVE, CHARLOTTE, NORTH CAROLINA, 28217 (the "Annual Meeting"), for the purpose of considering and acting upon the matters set forth in the foregoing Notice of Annual Meeting of Stockholders (the "Notice"). Stockholders of record of the Company's common stock, par value $.01 per share ("Common Stock"), as of the close of business on March 20, 2000, will be entitled to vote at the meeting. On March 20, 2000 (the "Record Date"), 15,244,308 shares of Common Stock were issued and outstanding.</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entire cost of the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79"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mailing address of the Company's executive office is 800 Tennessee Road, Erwin, Tennessee 37650. This Proxy Statement and the form of proxy will be mailed to stockholders on or about April 10,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QUORUM; PROXIES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Each share of Common Stock outstanding on the Record Date is entitled to one vote on each matter submitted to a vote of stockholders at the Annual Meeting. A quorum for the conduct of business is established when the holders of at least a majority of the outstanding shares of Common Stock entitled to vote in the election of directors are present at the meeting or are represented by proxy. Representatives of the Company will serve as inspectors of election for the Annual Meeting.</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Shares represented by a properly executed proxy will be voted at the Annual Meeting in the manner specified. In the absence of specific instructions, shares represented by a properly executed proxy will be voted for approval of an amendment to the Company's Certificate of Incorporation, for each of the nominees for election to the Board of Directors named herein and for the proposal to ratify the selection of PricewaterhouseCoopers LLP to serve as the Company's independent auditor for 2000.</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 proxy may be revoked at any time before it is exercised by delivery to the Secretary of the Company of a written revocation or a subsequently dated proxy and will be deemed revoked if the stockholder votes in person at the Annual Meeting.</w:t>
      </w:r>
    </w:p>
    <w:p>
      <w:pPr>
        <w:sectPr>
          <w:pgSz w:w="11900" w:h="16838" w:orient="portrait"/>
          <w:cols w:equalWidth="0" w:num="1">
            <w:col w:w="10219"/>
          </w:cols>
          <w:pgMar w:left="240" w:top="643" w:right="1440" w:bottom="1440" w:gutter="0" w:footer="0" w:header="0"/>
        </w:sectPr>
      </w:pPr>
    </w:p>
    <w:bookmarkStart w:id="4" w:name="page5"/>
    <w:bookmarkEnd w:id="4"/>
    <w:p>
      <w:pPr>
        <w:ind w:left="7"/>
        <w:spacing w:after="0"/>
        <w:rPr>
          <w:sz w:val="20"/>
          <w:szCs w:val="20"/>
          <w:color w:val="auto"/>
        </w:rPr>
      </w:pPr>
      <w:r>
        <w:rPr>
          <w:rFonts w:ascii="Courier New" w:cs="Courier New" w:eastAsia="Courier New" w:hAnsi="Courier New"/>
          <w:sz w:val="15"/>
          <w:szCs w:val="15"/>
          <w:color w:val="auto"/>
        </w:rPr>
        <w:t>VOTING RIGHTS AND OUTSTANDING SHARES</w:t>
      </w:r>
    </w:p>
    <w:p>
      <w:pPr>
        <w:spacing w:after="0" w:line="180" w:lineRule="exact"/>
        <w:rPr>
          <w:sz w:val="20"/>
          <w:szCs w:val="20"/>
          <w:color w:val="auto"/>
        </w:rPr>
      </w:pPr>
    </w:p>
    <w:p>
      <w:pPr>
        <w:ind w:left="7" w:right="280" w:firstLine="818"/>
        <w:spacing w:after="0" w:line="246" w:lineRule="auto"/>
        <w:rPr>
          <w:sz w:val="20"/>
          <w:szCs w:val="20"/>
          <w:color w:val="auto"/>
        </w:rPr>
      </w:pPr>
      <w:r>
        <w:rPr>
          <w:rFonts w:ascii="Courier New" w:cs="Courier New" w:eastAsia="Courier New" w:hAnsi="Courier New"/>
          <w:sz w:val="15"/>
          <w:szCs w:val="15"/>
          <w:color w:val="auto"/>
        </w:rPr>
        <w:t>Approval of Proposals II and III requires the affirmative vote of a majority of the shares of Common Stock represented in person or by proxy at the meeting. Broker non-votes (i.e., shares present by proxy but for which no voting authority has been given by the beneficial holder) will affect the vote on the proposals in that they will be treated as a "no" vote and abstentions (shares not voted by a stockholder present at the Annual Meeting) will be treated as "no" votes. Because directors are elected by a plurality of the votes cast, abstentions and broker non-votes will not effect the outcome of the election of directors.</w:t>
      </w:r>
    </w:p>
    <w:p>
      <w:pPr>
        <w:spacing w:after="0" w:line="180"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80" w:lineRule="exact"/>
        <w:rPr>
          <w:sz w:val="20"/>
          <w:szCs w:val="20"/>
          <w:color w:val="auto"/>
        </w:rPr>
      </w:pPr>
    </w:p>
    <w:p>
      <w:pPr>
        <w:ind w:left="7" w:right="280" w:firstLine="818"/>
        <w:spacing w:after="0" w:line="246" w:lineRule="auto"/>
        <w:rPr>
          <w:sz w:val="20"/>
          <w:szCs w:val="20"/>
          <w:color w:val="auto"/>
        </w:rPr>
      </w:pPr>
      <w:r>
        <w:rPr>
          <w:rFonts w:ascii="Courier New" w:cs="Courier New" w:eastAsia="Courier New" w:hAnsi="Courier New"/>
          <w:sz w:val="15"/>
          <w:szCs w:val="15"/>
          <w:color w:val="auto"/>
        </w:rPr>
        <w:t>The following table shows, as of March 20, 2000, the beneficial ownership of Common Stock by each director, each executive officer named in the Summary Compensation Table, and all directors and executive officers as a group, in each case as reported to the Company by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Courier New" w:cs="Courier New" w:eastAsia="Courier New" w:hAnsi="Courier New"/>
                <w:sz w:val="15"/>
                <w:szCs w:val="15"/>
                <w:color w:val="auto"/>
              </w:rPr>
              <w:t>NAME AND ADDRESS OF</w:t>
            </w: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w w:val="99"/>
              </w:rPr>
              <w:t>NUMBER OF SHARES</w:t>
            </w:r>
          </w:p>
        </w:tc>
        <w:tc>
          <w:tcPr>
            <w:tcW w:w="260" w:type="dxa"/>
            <w:vAlign w:val="bottom"/>
          </w:tcPr>
          <w:p>
            <w:pPr>
              <w:spacing w:after="0"/>
              <w:rPr>
                <w:sz w:val="14"/>
                <w:szCs w:val="14"/>
                <w:color w:val="auto"/>
              </w:rPr>
            </w:pPr>
          </w:p>
        </w:tc>
      </w:tr>
      <w:tr>
        <w:trPr>
          <w:trHeight w:val="175"/>
        </w:trPr>
        <w:tc>
          <w:tcPr>
            <w:tcW w:w="16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Courier New" w:cs="Courier New" w:eastAsia="Courier New" w:hAnsi="Courier New"/>
                <w:sz w:val="15"/>
                <w:szCs w:val="15"/>
                <w:color w:val="auto"/>
              </w:rPr>
              <w:t>BENEFICIAL OWNER (1)</w:t>
            </w:r>
          </w:p>
        </w:tc>
        <w:tc>
          <w:tcPr>
            <w:tcW w:w="20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BENEFICIALLY OWNED</w:t>
            </w:r>
          </w:p>
        </w:tc>
      </w:tr>
      <w:tr>
        <w:trPr>
          <w:trHeight w:val="175"/>
        </w:trPr>
        <w:tc>
          <w:tcPr>
            <w:tcW w:w="16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Richard D. Ennen .</w:t>
            </w:r>
          </w:p>
        </w:tc>
        <w:tc>
          <w:tcPr>
            <w:tcW w:w="3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2,843,420</w:t>
            </w:r>
          </w:p>
        </w:tc>
        <w:tc>
          <w:tcPr>
            <w:tcW w:w="260" w:type="dxa"/>
            <w:vAlign w:val="bottom"/>
          </w:tcPr>
          <w:p>
            <w:pPr>
              <w:spacing w:after="0"/>
              <w:rPr>
                <w:sz w:val="24"/>
                <w:szCs w:val="24"/>
                <w:color w:val="auto"/>
              </w:rPr>
            </w:pP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Michael D. Huff .</w:t>
            </w:r>
          </w:p>
        </w:tc>
        <w:tc>
          <w:tcPr>
            <w:tcW w:w="3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645,217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Roderick R. Baty .</w:t>
            </w:r>
          </w:p>
        </w:tc>
        <w:tc>
          <w:tcPr>
            <w:tcW w:w="3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2,395</w:t>
            </w:r>
          </w:p>
        </w:tc>
        <w:tc>
          <w:tcPr>
            <w:tcW w:w="260" w:type="dxa"/>
            <w:vAlign w:val="bottom"/>
          </w:tcPr>
          <w:p>
            <w:pPr>
              <w:spacing w:after="0"/>
              <w:rPr>
                <w:sz w:val="15"/>
                <w:szCs w:val="15"/>
                <w:color w:val="auto"/>
              </w:rPr>
            </w:pP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Frank T. Gentry .</w:t>
            </w:r>
          </w:p>
        </w:tc>
        <w:tc>
          <w:tcPr>
            <w:tcW w:w="3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31,561</w:t>
            </w:r>
          </w:p>
        </w:tc>
        <w:tc>
          <w:tcPr>
            <w:tcW w:w="260" w:type="dxa"/>
            <w:vAlign w:val="bottom"/>
          </w:tcPr>
          <w:p>
            <w:pPr>
              <w:spacing w:after="0"/>
              <w:rPr>
                <w:sz w:val="15"/>
                <w:szCs w:val="15"/>
                <w:color w:val="auto"/>
              </w:rPr>
            </w:pP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James L. Earsley .</w:t>
            </w:r>
          </w:p>
        </w:tc>
        <w:tc>
          <w:tcPr>
            <w:tcW w:w="3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221,428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Michael E. Werner</w:t>
            </w:r>
          </w:p>
        </w:tc>
        <w:tc>
          <w:tcPr>
            <w:tcW w:w="3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G. Ronald Morris .</w:t>
            </w:r>
          </w:p>
        </w:tc>
        <w:tc>
          <w:tcPr>
            <w:tcW w:w="3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Steven T. Warshaw</w:t>
            </w:r>
          </w:p>
        </w:tc>
        <w:tc>
          <w:tcPr>
            <w:tcW w:w="3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David L. Dyckman .</w:t>
            </w:r>
          </w:p>
        </w:tc>
        <w:tc>
          <w:tcPr>
            <w:tcW w:w="3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Robert R. Sams . .</w:t>
            </w:r>
          </w:p>
        </w:tc>
        <w:tc>
          <w:tcPr>
            <w:tcW w:w="3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 . . . . . . . . . . . .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 as a group  . . . .</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3,782,458</w:t>
            </w:r>
          </w:p>
        </w:tc>
        <w:tc>
          <w:tcPr>
            <w:tcW w:w="2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827" w:hanging="827"/>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80" w:lineRule="exact"/>
        <w:rPr>
          <w:sz w:val="20"/>
          <w:szCs w:val="20"/>
          <w:color w:val="auto"/>
        </w:rPr>
      </w:pPr>
    </w:p>
    <w:p>
      <w:pPr>
        <w:ind w:left="827" w:right="360" w:hanging="827"/>
        <w:spacing w:after="0" w:line="247" w:lineRule="auto"/>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beneficial owner is c/o NN Ball &amp; Roller, Inc., 800 Tennessee Road, Erwin, Tennessee 37650.</w:t>
      </w:r>
    </w:p>
    <w:p>
      <w:pPr>
        <w:spacing w:after="0" w:line="174" w:lineRule="exact"/>
        <w:rPr>
          <w:rFonts w:ascii="Courier New" w:cs="Courier New" w:eastAsia="Courier New" w:hAnsi="Courier New"/>
          <w:sz w:val="15"/>
          <w:szCs w:val="15"/>
          <w:color w:val="auto"/>
        </w:rPr>
      </w:pPr>
    </w:p>
    <w:p>
      <w:pPr>
        <w:ind w:left="827" w:right="460" w:hanging="827"/>
        <w:spacing w:after="0" w:line="246" w:lineRule="auto"/>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shown as beneficially owned by each person or group represents the total number of shares of Common Stock shown in the adjacent column divided by the sum of (i) the number of issued and outstanding shares of Common Stock as of March 20, 2000, and (ii) all shares of Common Stock, if any, issuable upon the exercise of stock options held by such person (but no other person) or group, as applicable, that were exercisable on March 20, 2000, or which will become exercisable within 60 days thereafter.</w:t>
      </w:r>
    </w:p>
    <w:p>
      <w:pPr>
        <w:spacing w:after="0" w:line="179" w:lineRule="exact"/>
        <w:rPr>
          <w:rFonts w:ascii="Courier New" w:cs="Courier New" w:eastAsia="Courier New" w:hAnsi="Courier New"/>
          <w:sz w:val="15"/>
          <w:szCs w:val="15"/>
          <w:color w:val="auto"/>
        </w:rPr>
      </w:pPr>
    </w:p>
    <w:p>
      <w:pPr>
        <w:ind w:left="827" w:right="360" w:hanging="827"/>
        <w:spacing w:after="0" w:line="247" w:lineRule="auto"/>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of Common Stock that Mr. Huff holds as an option to purchase and 225,000 shares of Common Stock registered in the name of Mr. Huff's wife.</w:t>
      </w:r>
    </w:p>
    <w:p>
      <w:pPr>
        <w:spacing w:after="0" w:line="174" w:lineRule="exact"/>
        <w:rPr>
          <w:rFonts w:ascii="Courier New" w:cs="Courier New" w:eastAsia="Courier New" w:hAnsi="Courier New"/>
          <w:sz w:val="15"/>
          <w:szCs w:val="15"/>
          <w:color w:val="auto"/>
        </w:rPr>
      </w:pPr>
    </w:p>
    <w:p>
      <w:pPr>
        <w:ind w:left="827" w:right="1000" w:hanging="827"/>
        <w:spacing w:after="0" w:line="247" w:lineRule="auto"/>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2,818 shares of Common Stock registered in the name of Mr. Earsley's minor son.</w:t>
      </w:r>
    </w:p>
    <w:p>
      <w:pPr>
        <w:spacing w:after="0" w:line="174" w:lineRule="exact"/>
        <w:rPr>
          <w:rFonts w:ascii="Courier New" w:cs="Courier New" w:eastAsia="Courier New" w:hAnsi="Courier New"/>
          <w:sz w:val="15"/>
          <w:szCs w:val="15"/>
          <w:color w:val="auto"/>
        </w:rPr>
      </w:pPr>
    </w:p>
    <w:p>
      <w:pPr>
        <w:ind w:left="827" w:right="460" w:hanging="827"/>
        <w:spacing w:after="0" w:line="247" w:lineRule="auto"/>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of Common Stock that Mr. Werner holds as an option to purchase and 5,287 shares of Common Stock registered in the name of Mr. Werner's wife.</w:t>
      </w:r>
    </w:p>
    <w:p>
      <w:pPr>
        <w:spacing w:after="0" w:line="34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18.6%</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24.8%</w:t>
      </w:r>
    </w:p>
    <w:p>
      <w:pPr>
        <w:sectPr>
          <w:pgSz w:w="11900" w:h="16838" w:orient="portrait"/>
          <w:cols w:equalWidth="0" w:num="2">
            <w:col w:w="7547" w:space="720"/>
            <w:col w:w="2000"/>
          </w:cols>
          <w:pgMar w:left="233" w:top="643" w:right="1399" w:bottom="1440" w:gutter="0" w:footer="0" w:header="0"/>
        </w:sectPr>
      </w:pPr>
    </w:p>
    <w:bookmarkStart w:id="5" w:name="page6"/>
    <w:bookmarkEnd w:id="5"/>
    <w:p>
      <w:pPr>
        <w:ind w:left="827" w:right="1000" w:hanging="827"/>
        <w:spacing w:after="0" w:line="247" w:lineRule="auto"/>
        <w:tabs>
          <w:tab w:leader="none" w:pos="8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of Common Stock that Mr. Morris holds as an option to purchase.</w:t>
      </w:r>
    </w:p>
    <w:p>
      <w:pPr>
        <w:spacing w:after="0" w:line="174" w:lineRule="exact"/>
        <w:rPr>
          <w:rFonts w:ascii="Courier New" w:cs="Courier New" w:eastAsia="Courier New" w:hAnsi="Courier New"/>
          <w:sz w:val="15"/>
          <w:szCs w:val="15"/>
          <w:color w:val="auto"/>
        </w:rPr>
      </w:pPr>
    </w:p>
    <w:p>
      <w:pPr>
        <w:ind w:left="827" w:right="920" w:hanging="827"/>
        <w:spacing w:after="0" w:line="247" w:lineRule="auto"/>
        <w:tabs>
          <w:tab w:leader="none" w:pos="8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of Common Stock that Mr. Warshaw holds as an option to purchase.</w:t>
      </w:r>
    </w:p>
    <w:p>
      <w:pPr>
        <w:spacing w:after="0" w:line="174" w:lineRule="exact"/>
        <w:rPr>
          <w:rFonts w:ascii="Courier New" w:cs="Courier New" w:eastAsia="Courier New" w:hAnsi="Courier New"/>
          <w:sz w:val="15"/>
          <w:szCs w:val="15"/>
          <w:color w:val="auto"/>
        </w:rPr>
      </w:pPr>
    </w:p>
    <w:p>
      <w:pPr>
        <w:ind w:left="827" w:right="920" w:hanging="827"/>
        <w:spacing w:after="0" w:line="247" w:lineRule="auto"/>
        <w:tabs>
          <w:tab w:leader="none" w:pos="8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8,000 shares of Common Stock that Mr. Dyckman holds as an option to purchase.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80" w:lineRule="exact"/>
        <w:rPr>
          <w:sz w:val="20"/>
          <w:szCs w:val="20"/>
          <w:color w:val="auto"/>
        </w:rPr>
      </w:pPr>
    </w:p>
    <w:p>
      <w:pPr>
        <w:ind w:left="7" w:right="540" w:firstLine="818"/>
        <w:spacing w:after="0" w:line="246" w:lineRule="auto"/>
        <w:rPr>
          <w:sz w:val="20"/>
          <w:szCs w:val="20"/>
          <w:color w:val="auto"/>
        </w:rPr>
      </w:pPr>
      <w:r>
        <w:rPr>
          <w:rFonts w:ascii="Courier New" w:cs="Courier New" w:eastAsia="Courier New" w:hAnsi="Courier New"/>
          <w:sz w:val="15"/>
          <w:szCs w:val="15"/>
          <w:color w:val="auto"/>
        </w:rPr>
        <w:t>The following table sets forth, as of December 31, 1999, the number of shares of the Company's Common Stock beneficially owned by the only parties known to the Company's management to own more than 5% of the Company's Common Stock (other than Richard D. Ennen, for whom information is shown on the preceding table).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4500" w:type="dxa"/>
            <w:vAlign w:val="bottom"/>
          </w:tcPr>
          <w:p>
            <w:pPr>
              <w:ind w:left="740"/>
              <w:spacing w:after="0"/>
              <w:rPr>
                <w:sz w:val="20"/>
                <w:szCs w:val="20"/>
                <w:color w:val="auto"/>
              </w:rPr>
            </w:pPr>
            <w:r>
              <w:rPr>
                <w:rFonts w:ascii="Courier New" w:cs="Courier New" w:eastAsia="Courier New" w:hAnsi="Courier New"/>
                <w:sz w:val="15"/>
                <w:szCs w:val="15"/>
                <w:color w:val="auto"/>
              </w:rPr>
              <w:t>NAME AND ADDRESS OF</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NUMBER OF SHARES</w:t>
            </w:r>
          </w:p>
        </w:tc>
      </w:tr>
      <w:tr>
        <w:trPr>
          <w:trHeight w:val="175"/>
        </w:trPr>
        <w:tc>
          <w:tcPr>
            <w:tcW w:w="1080" w:type="dxa"/>
            <w:vAlign w:val="bottom"/>
          </w:tcPr>
          <w:p>
            <w:pPr>
              <w:spacing w:after="0"/>
              <w:rPr>
                <w:sz w:val="15"/>
                <w:szCs w:val="15"/>
                <w:color w:val="auto"/>
              </w:rPr>
            </w:pPr>
          </w:p>
        </w:tc>
        <w:tc>
          <w:tcPr>
            <w:tcW w:w="4500" w:type="dxa"/>
            <w:vAlign w:val="bottom"/>
          </w:tcPr>
          <w:p>
            <w:pPr>
              <w:ind w:left="740"/>
              <w:spacing w:after="0"/>
              <w:rPr>
                <w:sz w:val="20"/>
                <w:szCs w:val="20"/>
                <w:color w:val="auto"/>
              </w:rPr>
            </w:pPr>
            <w:r>
              <w:rPr>
                <w:rFonts w:ascii="Courier New" w:cs="Courier New" w:eastAsia="Courier New" w:hAnsi="Courier New"/>
                <w:sz w:val="15"/>
                <w:szCs w:val="15"/>
                <w:color w:val="auto"/>
              </w:rPr>
              <w:t>BENEFICIAL OWNER</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BENEFICIALLY OWNED</w:t>
            </w:r>
          </w:p>
        </w:tc>
      </w:tr>
      <w:tr>
        <w:trPr>
          <w:trHeight w:val="175"/>
        </w:trPr>
        <w:tc>
          <w:tcPr>
            <w:tcW w:w="1080" w:type="dxa"/>
            <w:vAlign w:val="bottom"/>
          </w:tcPr>
          <w:p>
            <w:pPr>
              <w:spacing w:after="0"/>
              <w:rPr>
                <w:sz w:val="15"/>
                <w:szCs w:val="15"/>
                <w:color w:val="auto"/>
              </w:rPr>
            </w:pPr>
          </w:p>
        </w:tc>
        <w:tc>
          <w:tcPr>
            <w:tcW w:w="45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524"/>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Deprince, Race &amp; Zollo, Inc.  . . . . . . . . . . . . . . .</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2,028,250</w:t>
            </w:r>
          </w:p>
        </w:tc>
      </w:tr>
      <w:tr>
        <w:trPr>
          <w:trHeight w:val="175"/>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201 S. Orange Avenue</w:t>
            </w:r>
          </w:p>
        </w:tc>
        <w:tc>
          <w:tcPr>
            <w:tcW w:w="16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Suite 850</w:t>
            </w:r>
          </w:p>
        </w:tc>
        <w:tc>
          <w:tcPr>
            <w:tcW w:w="45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Orlando, FL</w:t>
            </w:r>
          </w:p>
        </w:tc>
        <w:tc>
          <w:tcPr>
            <w:tcW w:w="4500" w:type="dxa"/>
            <w:vAlign w:val="bottom"/>
          </w:tcPr>
          <w:p>
            <w:pPr>
              <w:jc w:val="right"/>
              <w:ind w:right="3884"/>
              <w:spacing w:after="0"/>
              <w:rPr>
                <w:sz w:val="20"/>
                <w:szCs w:val="20"/>
                <w:color w:val="auto"/>
              </w:rPr>
            </w:pPr>
            <w:r>
              <w:rPr>
                <w:rFonts w:ascii="Courier New" w:cs="Courier New" w:eastAsia="Courier New" w:hAnsi="Courier New"/>
                <w:sz w:val="15"/>
                <w:szCs w:val="15"/>
                <w:color w:val="auto"/>
              </w:rPr>
              <w:t>32801</w:t>
            </w:r>
          </w:p>
        </w:tc>
        <w:tc>
          <w:tcPr>
            <w:tcW w:w="1680" w:type="dxa"/>
            <w:vAlign w:val="bottom"/>
          </w:tcPr>
          <w:p>
            <w:pPr>
              <w:spacing w:after="0"/>
              <w:rPr>
                <w:sz w:val="15"/>
                <w:szCs w:val="15"/>
                <w:color w:val="auto"/>
              </w:rPr>
            </w:pPr>
          </w:p>
        </w:tc>
      </w:tr>
      <w:tr>
        <w:trPr>
          <w:trHeight w:val="350"/>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Wellington Management Company, LLP  . .  . . . .</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1,311,150(1)</w:t>
            </w:r>
          </w:p>
        </w:tc>
      </w:tr>
      <w:tr>
        <w:trPr>
          <w:trHeight w:val="175"/>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75 State Street</w:t>
            </w:r>
          </w:p>
        </w:tc>
        <w:tc>
          <w:tcPr>
            <w:tcW w:w="16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Boston, MA</w:t>
            </w:r>
          </w:p>
        </w:tc>
        <w:tc>
          <w:tcPr>
            <w:tcW w:w="4500" w:type="dxa"/>
            <w:vAlign w:val="bottom"/>
          </w:tcPr>
          <w:p>
            <w:pPr>
              <w:jc w:val="right"/>
              <w:ind w:right="3964"/>
              <w:spacing w:after="0"/>
              <w:rPr>
                <w:sz w:val="20"/>
                <w:szCs w:val="20"/>
                <w:color w:val="auto"/>
              </w:rPr>
            </w:pPr>
            <w:r>
              <w:rPr>
                <w:rFonts w:ascii="Courier New" w:cs="Courier New" w:eastAsia="Courier New" w:hAnsi="Courier New"/>
                <w:sz w:val="15"/>
                <w:szCs w:val="15"/>
                <w:color w:val="auto"/>
                <w:w w:val="97"/>
              </w:rPr>
              <w:t>02109</w:t>
            </w:r>
          </w:p>
        </w:tc>
        <w:tc>
          <w:tcPr>
            <w:tcW w:w="1680" w:type="dxa"/>
            <w:vAlign w:val="bottom"/>
          </w:tcPr>
          <w:p>
            <w:pPr>
              <w:spacing w:after="0"/>
              <w:rPr>
                <w:sz w:val="15"/>
                <w:szCs w:val="15"/>
                <w:color w:val="auto"/>
              </w:rPr>
            </w:pPr>
          </w:p>
        </w:tc>
      </w:tr>
      <w:tr>
        <w:trPr>
          <w:trHeight w:val="350"/>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Capital Guardian Trust Company . . . . . . . . . . . . .</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895,200</w:t>
            </w:r>
          </w:p>
        </w:tc>
      </w:tr>
      <w:tr>
        <w:trPr>
          <w:trHeight w:val="175"/>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1110 Santa Monica Boulevard</w:t>
            </w:r>
          </w:p>
        </w:tc>
        <w:tc>
          <w:tcPr>
            <w:tcW w:w="1680" w:type="dxa"/>
            <w:vAlign w:val="bottom"/>
          </w:tcPr>
          <w:p>
            <w:pPr>
              <w:spacing w:after="0"/>
              <w:rPr>
                <w:sz w:val="15"/>
                <w:szCs w:val="15"/>
                <w:color w:val="auto"/>
              </w:rPr>
            </w:pPr>
          </w:p>
        </w:tc>
      </w:tr>
      <w:tr>
        <w:trPr>
          <w:trHeight w:val="175"/>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Los Angeles, CA 90025</w:t>
            </w:r>
          </w:p>
        </w:tc>
        <w:tc>
          <w:tcPr>
            <w:tcW w:w="1680" w:type="dxa"/>
            <w:vAlign w:val="bottom"/>
          </w:tcPr>
          <w:p>
            <w:pPr>
              <w:spacing w:after="0"/>
              <w:rPr>
                <w:sz w:val="15"/>
                <w:szCs w:val="15"/>
                <w:color w:val="auto"/>
              </w:rPr>
            </w:pPr>
          </w:p>
        </w:tc>
      </w:tr>
      <w:tr>
        <w:trPr>
          <w:trHeight w:val="350"/>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Royce &amp; Associates, Inc.  . . . . . . . . . . . . . . . . . .</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914,000</w:t>
            </w:r>
          </w:p>
        </w:tc>
      </w:tr>
      <w:tr>
        <w:trPr>
          <w:trHeight w:val="175"/>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1414 Avenue of the Americas</w:t>
            </w:r>
          </w:p>
        </w:tc>
        <w:tc>
          <w:tcPr>
            <w:tcW w:w="168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New York, NY</w:t>
            </w:r>
          </w:p>
        </w:tc>
        <w:tc>
          <w:tcPr>
            <w:tcW w:w="4500" w:type="dxa"/>
            <w:vAlign w:val="bottom"/>
          </w:tcPr>
          <w:p>
            <w:pPr>
              <w:jc w:val="right"/>
              <w:ind w:right="3784"/>
              <w:spacing w:after="0"/>
              <w:rPr>
                <w:sz w:val="20"/>
                <w:szCs w:val="20"/>
                <w:color w:val="auto"/>
              </w:rPr>
            </w:pPr>
            <w:r>
              <w:rPr>
                <w:rFonts w:ascii="Courier New" w:cs="Courier New" w:eastAsia="Courier New" w:hAnsi="Courier New"/>
                <w:sz w:val="15"/>
                <w:szCs w:val="15"/>
                <w:color w:val="auto"/>
              </w:rPr>
              <w:t>10019</w:t>
            </w:r>
          </w:p>
        </w:tc>
        <w:tc>
          <w:tcPr>
            <w:tcW w:w="168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827" w:right="540" w:hanging="827"/>
        <w:spacing w:after="0" w:line="246"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839,150 shares for which Wellington Management Company, LLP, an investment adviser, reports shared voting power with the beneficial owners of such shares and 1,311,150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39"/>
        <w:spacing w:after="0" w:line="246" w:lineRule="auto"/>
        <w:rPr>
          <w:sz w:val="20"/>
          <w:szCs w:val="20"/>
          <w:color w:val="auto"/>
        </w:rPr>
      </w:pPr>
      <w:r>
        <w:rPr>
          <w:rFonts w:ascii="Courier New" w:cs="Courier New" w:eastAsia="Courier New" w:hAnsi="Courier New"/>
          <w:sz w:val="15"/>
          <w:szCs w:val="15"/>
          <w:color w:val="auto"/>
        </w:rPr>
        <w:t>PERCENTAGE BENEFICIALLY OWNED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8.6%</w:t>
      </w:r>
    </w:p>
    <w:p>
      <w:pPr>
        <w:spacing w:after="0" w:line="200" w:lineRule="exact"/>
        <w:rPr>
          <w:sz w:val="20"/>
          <w:szCs w:val="20"/>
          <w:color w:val="auto"/>
        </w:rPr>
      </w:pPr>
    </w:p>
    <w:p>
      <w:pPr>
        <w:spacing w:after="0" w:line="329"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329"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2">
            <w:col w:w="7727" w:space="720"/>
            <w:col w:w="1779"/>
          </w:cols>
          <w:pgMar w:left="233" w:top="6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 ownership of the Common Stock and reports of changes in beneficial ownership of the Common Stock. Such persons also are required by SEC regulations to furnish the Company with copies of all such reports.</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Based solely on its review of the copies of such reports furnished to the Company for the year ended December 31, 1999, and on the written representations made by such persons that no other reports were required, the Company is not aware of any instance of noncompliance with Section 16(a) by its directors, executive officers or owners of more than 10% of the Common Stock, except for one inadvertent late filing by each of Mr. Morris, Mr. Werner, Mr. Warshaw and Mr. Huff.</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PROPOSAL 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ELECTION OF DIRECTORS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Two Class III directors will be elected to the Board of Directors at the Annual Meeting. The Company has nominated for election Richard D. Ennen and Roderick R. Baty, each of whom currently is a director. Each of the nominees has indicated a willingness to continue to serve as a director if elected, but if either of them shall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EACH OF THE NOMINEES.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PROPOSAL II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 THE COMPANY'S CERTIFICATE OF INCORPORATION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TO CHANGE THE COMPANY'S NAME TO NN, INC.</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Board of Directors has adopted a resolution proposing that the Company's Certificate of Incorporation be amended as follows: "The name of the corporation (hereinafter called the "Corporation") is NN, Inc." The Board feels the name change better reflects the more diverse business model of the Company.</w:t>
      </w:r>
    </w:p>
    <w:p>
      <w:pPr>
        <w:spacing w:after="0" w:line="178"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If approved by the stockholders, the change of corporate name will become effective upon the filing of a Certificate of Amendment with the Secretary of State of Delaware.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7" w:name="page8"/>
    <w:bookmarkEnd w:id="7"/>
    <w:p>
      <w:pPr>
        <w:jc w:val="center"/>
        <w:ind w:right="3180"/>
        <w:spacing w:after="0"/>
        <w:rPr>
          <w:sz w:val="20"/>
          <w:szCs w:val="20"/>
          <w:color w:val="auto"/>
        </w:rPr>
      </w:pPr>
      <w:r>
        <w:rPr>
          <w:rFonts w:ascii="Courier New" w:cs="Courier New" w:eastAsia="Courier New" w:hAnsi="Courier New"/>
          <w:sz w:val="15"/>
          <w:szCs w:val="15"/>
          <w:color w:val="auto"/>
        </w:rPr>
        <w:t>PROPOSAL III</w:t>
      </w:r>
    </w:p>
    <w:p>
      <w:pPr>
        <w:spacing w:after="0" w:line="5"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RATIFICATION OF SELECTION OF AUDITORS</w:t>
      </w:r>
    </w:p>
    <w:p>
      <w:pPr>
        <w:spacing w:after="0" w:line="180" w:lineRule="exact"/>
        <w:rPr>
          <w:sz w:val="20"/>
          <w:szCs w:val="20"/>
          <w:color w:val="auto"/>
        </w:rPr>
      </w:pPr>
    </w:p>
    <w:p>
      <w:pPr>
        <w:ind w:right="3260" w:firstLine="818"/>
        <w:spacing w:after="0" w:line="246" w:lineRule="auto"/>
        <w:rPr>
          <w:sz w:val="20"/>
          <w:szCs w:val="20"/>
          <w:color w:val="auto"/>
        </w:rPr>
      </w:pPr>
      <w:r>
        <w:rPr>
          <w:rFonts w:ascii="Courier New" w:cs="Courier New" w:eastAsia="Courier New" w:hAnsi="Courier New"/>
          <w:sz w:val="15"/>
          <w:szCs w:val="15"/>
          <w:color w:val="auto"/>
        </w:rPr>
        <w:t>The firm of PricewaterhouseCoopers LLP has been selected by the Board of Directors as the Company's outside auditors for 1999. PricewaterhouseCoopers LLP has served as the independent auditors of the Company since 1990. Although it is not required to do so, the Board has determined that it is desirable to seek stockholders' ratification of the selection of PricewaterhouseCoopers LLP.</w:t>
      </w:r>
    </w:p>
    <w:p>
      <w:pPr>
        <w:spacing w:after="0" w:line="178" w:lineRule="exact"/>
        <w:rPr>
          <w:sz w:val="20"/>
          <w:szCs w:val="20"/>
          <w:color w:val="auto"/>
        </w:rPr>
      </w:pPr>
    </w:p>
    <w:p>
      <w:pPr>
        <w:ind w:right="3260" w:firstLine="818"/>
        <w:spacing w:after="0" w:line="246"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SUBMISSION OF STOCKHOLDER PROPOSALS</w:t>
      </w:r>
    </w:p>
    <w:p>
      <w:pPr>
        <w:spacing w:after="0" w:line="180" w:lineRule="exact"/>
        <w:rPr>
          <w:sz w:val="20"/>
          <w:szCs w:val="20"/>
          <w:color w:val="auto"/>
        </w:rPr>
      </w:pPr>
    </w:p>
    <w:p>
      <w:pPr>
        <w:ind w:right="3180" w:firstLine="818"/>
        <w:spacing w:after="0" w:line="246" w:lineRule="auto"/>
        <w:rPr>
          <w:sz w:val="20"/>
          <w:szCs w:val="20"/>
          <w:color w:val="auto"/>
        </w:rPr>
      </w:pPr>
      <w:r>
        <w:rPr>
          <w:rFonts w:ascii="Courier New" w:cs="Courier New" w:eastAsia="Courier New" w:hAnsi="Courier New"/>
          <w:sz w:val="15"/>
          <w:szCs w:val="15"/>
          <w:color w:val="auto"/>
        </w:rPr>
        <w:t>Any stockholder proposal intended to be presented at next year's Annual Meeting must be received by the Company at its executive offices not later than December 11, 2000 in order to be considered for inclusion in the Company's proxy statement and form of proxy for such meeting. All notices should be sent to NN Ball &amp; Roller, Inc., Attention: Secretary, 800 Tennessee Road, Erwin, Tennessee 37650. If the proposal is received by the Company 45 days or fewer prior to the anniversary of the mailing date of this proxy statement, the persons named as proxy in the Company's 2001 proxy materials will have the discretionary authority to vote on the proposal in accordance with their best judgement without disclosure in this proxy statement of how they indent to vote on the proposal.</w:t>
      </w:r>
    </w:p>
    <w:p>
      <w:pPr>
        <w:spacing w:after="0" w:line="18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INFORMATION ABOUT THE DIRECTORS</w:t>
      </w:r>
    </w:p>
    <w:p>
      <w:pPr>
        <w:spacing w:after="0" w:line="180" w:lineRule="exact"/>
        <w:rPr>
          <w:sz w:val="20"/>
          <w:szCs w:val="20"/>
          <w:color w:val="auto"/>
        </w:rPr>
      </w:pPr>
    </w:p>
    <w:p>
      <w:pPr>
        <w:ind w:right="3440" w:firstLine="818"/>
        <w:spacing w:after="0" w:line="246" w:lineRule="auto"/>
        <w:rPr>
          <w:sz w:val="20"/>
          <w:szCs w:val="20"/>
          <w:color w:val="auto"/>
        </w:rPr>
      </w:pPr>
      <w:r>
        <w:rPr>
          <w:rFonts w:ascii="Courier New" w:cs="Courier New" w:eastAsia="Courier New" w:hAnsi="Courier New"/>
          <w:sz w:val="15"/>
          <w:szCs w:val="15"/>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DIRECTOR</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TERM</w:t>
            </w:r>
          </w:p>
        </w:tc>
        <w:tc>
          <w:tcPr>
            <w:tcW w:w="3220" w:type="dxa"/>
            <w:vAlign w:val="bottom"/>
          </w:tcPr>
          <w:p>
            <w:pPr>
              <w:spacing w:after="0"/>
              <w:rPr>
                <w:sz w:val="14"/>
                <w:szCs w:val="14"/>
                <w:color w:val="auto"/>
              </w:rPr>
            </w:pP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AGE</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SINCE</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EXPIRES</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POSITIONS WITH THE COMPANY</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524"/>
        </w:trPr>
        <w:tc>
          <w:tcPr>
            <w:tcW w:w="3620" w:type="dxa"/>
            <w:vAlign w:val="bottom"/>
          </w:tcPr>
          <w:p>
            <w:pPr>
              <w:spacing w:after="0"/>
              <w:rPr>
                <w:sz w:val="20"/>
                <w:szCs w:val="20"/>
                <w:color w:val="auto"/>
              </w:rPr>
            </w:pPr>
            <w:r>
              <w:rPr>
                <w:rFonts w:ascii="Courier New" w:cs="Courier New" w:eastAsia="Courier New" w:hAnsi="Courier New"/>
                <w:sz w:val="15"/>
                <w:szCs w:val="15"/>
                <w:color w:val="auto"/>
              </w:rPr>
              <w:t>Richard D. Ennen . . . . . . . . . .</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72</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1980</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2000</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w w:val="99"/>
              </w:rPr>
              <w:t>Chairman of the Board and Director</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Roderick R. Baty . . . . . . . . . .</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46</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2000</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w w:val="99"/>
              </w:rPr>
              <w:t>Chief Executive Officer, President</w:t>
            </w:r>
          </w:p>
        </w:tc>
      </w:tr>
      <w:tr>
        <w:trPr>
          <w:trHeight w:val="175"/>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and Director</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Michael D. Huff . . . . . . . . . . .</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52</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1980</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2001</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Michael E. Werner . . . . . . . . .</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55</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2001</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G. Ronald Morris . . . . . . . . . .</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63</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2002</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Steven T. Warshaw . . . . . . . . .</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51</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2002</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James L. Earsley</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54</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20"/>
              <w:spacing w:after="0"/>
              <w:rPr>
                <w:sz w:val="20"/>
                <w:szCs w:val="20"/>
                <w:color w:val="auto"/>
              </w:rPr>
            </w:pPr>
            <w:r>
              <w:rPr>
                <w:rFonts w:ascii="Courier New" w:cs="Courier New" w:eastAsia="Courier New" w:hAnsi="Courier New"/>
                <w:sz w:val="15"/>
                <w:szCs w:val="15"/>
                <w:color w:val="auto"/>
              </w:rPr>
              <w:t>2002</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29" w:lineRule="exact"/>
        <w:rPr>
          <w:sz w:val="20"/>
          <w:szCs w:val="20"/>
          <w:color w:val="auto"/>
        </w:rPr>
      </w:pPr>
    </w:p>
    <w:p>
      <w:pPr>
        <w:ind w:right="3180" w:firstLine="818"/>
        <w:spacing w:after="0" w:line="246" w:lineRule="auto"/>
        <w:rPr>
          <w:sz w:val="20"/>
          <w:szCs w:val="20"/>
          <w:color w:val="auto"/>
        </w:rPr>
      </w:pPr>
      <w:r>
        <w:rPr>
          <w:rFonts w:ascii="Courier New" w:cs="Courier New" w:eastAsia="Courier New" w:hAnsi="Courier New"/>
          <w:sz w:val="15"/>
          <w:szCs w:val="15"/>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40"/>
          </w:cols>
          <w:pgMar w:left="240" w:top="642" w:right="1219" w:bottom="1440" w:gutter="0" w:footer="0" w:header="0"/>
        </w:sectPr>
      </w:pPr>
    </w:p>
    <w:bookmarkStart w:id="8" w:name="page9"/>
    <w:bookmarkEnd w:id="8"/>
    <w:p>
      <w:pPr>
        <w:ind w:right="3039"/>
        <w:spacing w:after="0" w:line="247" w:lineRule="auto"/>
        <w:rPr>
          <w:sz w:val="20"/>
          <w:szCs w:val="20"/>
          <w:color w:val="auto"/>
        </w:rPr>
      </w:pPr>
      <w:r>
        <w:rPr>
          <w:rFonts w:ascii="Courier New" w:cs="Courier New" w:eastAsia="Courier New" w:hAnsi="Courier New"/>
          <w:sz w:val="15"/>
          <w:szCs w:val="15"/>
          <w:color w:val="auto"/>
        </w:rPr>
        <w:t>Tsubakimoto Precision Products Co. Ltd, including Corporate Vice President and General Manager of the ball and roller division. Mr. Ennen has over 40 years of experience in the anti-friction bearing industry.</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Roderick R. Baty became President and Chief Executive Officer in July 1997.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Precision Products from 1985 to 1990.</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Michael D. Huff has served as a director of the Company since its formation in 1980 and as a consultant to the Company since January 1995. From 1980 until his retirement in January 1995, Mr. Huff served as the Chief Financial Officer, Treasurer and Secretary of the 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Michael E. Werner is a management consultant with Werner Gershon Associates, a management consulting firm specializing in manufacturing companies that Mr. Werner co-founded in 1982.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Steven T. Warshaw has served as Senior Vice President of Photronics, Inc., a global supplier to the semiconductor industry since February 1999.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James L. Earsley was elected to the Board effective August 1, 1999. Mr. Earsley has spent his entire career with Industrial Molding Corporation (IMC) and was Chairman of the Board at the time of the Company's acquisition of IMC on July 4, 1999. Mr. Earsley remains involved with the business in a non-employee consulting role.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Michael E. Werner, a director of the Company, is a principal of Werner Gershon Associate. Werner Gershon Associates was retained by the Company to help develop a long-range business strategy for its Plastics Division. During the latter part of 1999, Werner Gershon Associates worked with the Company to study their markets and competitors, and defining new business opportunities. The result of this work, when complete, will be a long-range business plan. The Company paid Werner Gershon Associates approximately $50,000 for its services in 1999.</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James L. Earsley, past Chairman of Industrial Molding Corporation, was elected to the Board of Directors effective August of 1999. Although no longer involved in the day-to-day business of IMC, Mr. Earsley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9" w:name="page10"/>
    <w:bookmarkEnd w:id="9"/>
    <w:p>
      <w:pPr>
        <w:jc w:val="both"/>
        <w:ind w:right="3419"/>
        <w:spacing w:after="0" w:line="247" w:lineRule="auto"/>
        <w:rPr>
          <w:sz w:val="20"/>
          <w:szCs w:val="20"/>
          <w:color w:val="auto"/>
        </w:rPr>
      </w:pPr>
      <w:r>
        <w:rPr>
          <w:rFonts w:ascii="Courier New" w:cs="Courier New" w:eastAsia="Courier New" w:hAnsi="Courier New"/>
          <w:sz w:val="15"/>
          <w:szCs w:val="15"/>
          <w:color w:val="auto"/>
        </w:rPr>
        <w:t>was retained by the Company in a non-employee consulting role to Industrial Molding Corporation and is involved with strategic development. Mr. Earsley was paid approximately $75,000 for his services in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AGREEMENT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Company and the persons who were stockholders of the Company prior to its initial public offering are parties to an agreement which provides that, so long as the Ennen family continues to hold at least 10 percent of the Common Stock, in the event that Mr. Ennen for any reason ceases to serve as a director of the Company, such individuals will vote their shares of Common Stock in favor of a director nominee who is designated by the Ennen family. To the Company's knowledge, as of March 20, 2000, members of the Ennen family held, in the aggregate, approximately 20.7 percent of the outstanding shares of Common Stock, and the other parties to the Agreement held, in the aggregate, approximately 12.9 percent of the outstanding shares of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Directors who are not employees of the Company are paid an annual retainer of $15,000 and a fee of $1,000 for each Board or Committee meeting attended, except that directors do not receive fees for attendance at Committee meetings held on the same day as a Board meeting. Directors who are employees of the Company do not receive any compensation for their service as directors. Directors may elect to defer some or all of the compensation they are provided by the Company. In addition, each Director who is not an employee of the Company received 5,000 stock options on July 4, 1999. The exercise price of the options was $5.94 per share, which was the closing price of the stock on Nasdaq on the date the option was granted. The term of the options is ten years from the date of grant. These options become fully vested on January 4, 2000. In the event of termination of service due to death or disability, the options become fully vested. The Company also reimburses all directors for out-of-pocket expenses incurred in attending Board and Committee meetings.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AUDIT COMMITTEE. The Audit Committee of the Board of Directors consists of G. Ronald Morris, Michael E. Werner, and Steven T. Warshaw.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one time in 1999.</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consists of G. Ronald Morris, Michael E. Werner, and Steven T. Warshaw. The Compensation Committee is responsible for reviewing and approving the Company's executive compensation policies and practices and supervising the administration of the Company's employee benefit plans, including the NN Ball &amp; Roller, Inc. Stock Incentive Plan. The functions of the Compensation Committee are discussed in further detail in the section entitled "Report of the Compensation Committee" herein. The Compensation Committee met three times in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ATTENDANCE AT BOARD AND COMMITTEE MEETINGS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Board of Directors held six meetings in 1999. Each director of the Company was present for all of the meetings of the Board of Directors and each Committee on which such director served.</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0" w:name="page11"/>
    <w:bookmarkEnd w:id="10"/>
    <w:p>
      <w:pPr>
        <w:ind w:left="2627"/>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following table sets forth for the years ended December 31, 1997, 1998 and 1999, certain information concerning the compensation paid for services rendered in all capacities by the Company, to each individual who served as the Chief Executive Officer and to each of the other most highly compensated executive officers of the Company whose annual salary and bonus in 1999 exceeded $100,000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00" w:type="dxa"/>
            <w:vAlign w:val="bottom"/>
            <w:gridSpan w:val="2"/>
          </w:tcPr>
          <w:p>
            <w:pPr>
              <w:jc w:val="right"/>
              <w:ind w:right="436"/>
              <w:spacing w:after="0"/>
              <w:rPr>
                <w:sz w:val="20"/>
                <w:szCs w:val="20"/>
                <w:color w:val="auto"/>
              </w:rPr>
            </w:pPr>
            <w:r>
              <w:rPr>
                <w:rFonts w:ascii="Courier New" w:cs="Courier New" w:eastAsia="Courier New" w:hAnsi="Courier New"/>
                <w:sz w:val="15"/>
                <w:szCs w:val="15"/>
                <w:color w:val="auto"/>
              </w:rPr>
              <w:t>SUMMARY COMPENSATION TABLE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4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LONG-TERM</w:t>
            </w:r>
          </w:p>
        </w:tc>
        <w:tc>
          <w:tcPr>
            <w:tcW w:w="108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COMPENSATION</w:t>
            </w:r>
          </w:p>
        </w:tc>
        <w:tc>
          <w:tcPr>
            <w:tcW w:w="108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AWARDS</w:t>
            </w:r>
          </w:p>
        </w:tc>
        <w:tc>
          <w:tcPr>
            <w:tcW w:w="108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center"/>
              <w:ind w:right="644"/>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ALL OTHER</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center"/>
              <w:ind w:right="644"/>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OPTIONS/ COMPENSATION</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YEAR</w:t>
            </w:r>
          </w:p>
        </w:tc>
        <w:tc>
          <w:tcPr>
            <w:tcW w:w="28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SALARY ($) BONUS ($) SARS (#)</w:t>
            </w: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5"/>
              </w:rPr>
              <w:t>($) (1)</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524"/>
        </w:trPr>
        <w:tc>
          <w:tcPr>
            <w:tcW w:w="4180" w:type="dxa"/>
            <w:vAlign w:val="bottom"/>
          </w:tcPr>
          <w:p>
            <w:pPr>
              <w:spacing w:after="0"/>
              <w:rPr>
                <w:sz w:val="20"/>
                <w:szCs w:val="20"/>
                <w:color w:val="auto"/>
              </w:rPr>
            </w:pPr>
            <w:r>
              <w:rPr>
                <w:rFonts w:ascii="Courier New" w:cs="Courier New" w:eastAsia="Courier New" w:hAnsi="Courier New"/>
                <w:sz w:val="15"/>
                <w:szCs w:val="15"/>
                <w:color w:val="auto"/>
              </w:rPr>
              <w:t>Roderick R. Baty . . . . . . . . . . . . . . .</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w w:val="99"/>
              </w:rPr>
              <w:t>.1999</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210,137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85,000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1,057(2)</w:t>
            </w:r>
          </w:p>
        </w:tc>
      </w:tr>
      <w:tr>
        <w:trPr>
          <w:trHeight w:val="175"/>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Officer/President</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1,196</w:t>
            </w:r>
          </w:p>
        </w:tc>
      </w:tr>
      <w:tr>
        <w:trPr>
          <w:trHeight w:val="175"/>
        </w:trPr>
        <w:tc>
          <w:tcPr>
            <w:tcW w:w="418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154,063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712</w:t>
            </w: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Richard D. Ennen . . . . . . . . . . . . . . .</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w w:val="99"/>
              </w:rPr>
              <w:t>.1999</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46,352(2)(3)</w:t>
            </w:r>
          </w:p>
        </w:tc>
      </w:tr>
      <w:tr>
        <w:trPr>
          <w:trHeight w:val="175"/>
        </w:trPr>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Chairman</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47,408</w:t>
            </w:r>
          </w:p>
        </w:tc>
      </w:tr>
      <w:tr>
        <w:trPr>
          <w:trHeight w:val="175"/>
        </w:trPr>
        <w:tc>
          <w:tcPr>
            <w:tcW w:w="418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174,720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46,587</w:t>
            </w: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Frank T. Gentry . . . . . . . . . . . . . . .</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w w:val="99"/>
              </w:rPr>
              <w:t>.1999</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124,667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15,900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652(2)</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Vice President - Manufacturing</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733</w:t>
            </w:r>
          </w:p>
        </w:tc>
      </w:tr>
      <w:tr>
        <w:trPr>
          <w:trHeight w:val="175"/>
        </w:trPr>
        <w:tc>
          <w:tcPr>
            <w:tcW w:w="418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106,307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612</w:t>
            </w: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David L. Dyckman . . . . . . . . . . . . . .</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w w:val="97"/>
              </w:rPr>
              <w:t>. .   1999</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132,478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18,000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609(2)</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Chief Financial Officer/Vice President</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78,269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40,000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30,018</w:t>
            </w:r>
          </w:p>
        </w:tc>
      </w:tr>
      <w:tr>
        <w:trPr>
          <w:trHeight w:val="175"/>
        </w:trPr>
        <w:tc>
          <w:tcPr>
            <w:tcW w:w="418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Robert R. Sams . . . . . . . . . . . . . . . .</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w w:val="99"/>
              </w:rPr>
              <w:t>.1999</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103,285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16,600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810(2)</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Vice President - Market Services</w:t>
            </w: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118,894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611</w:t>
            </w:r>
          </w:p>
        </w:tc>
      </w:tr>
      <w:tr>
        <w:trPr>
          <w:trHeight w:val="175"/>
        </w:trPr>
        <w:tc>
          <w:tcPr>
            <w:tcW w:w="4180" w:type="dxa"/>
            <w:vAlign w:val="bottom"/>
          </w:tcPr>
          <w:p>
            <w:pPr>
              <w:spacing w:after="0"/>
              <w:rPr>
                <w:sz w:val="15"/>
                <w:szCs w:val="15"/>
                <w:color w:val="auto"/>
              </w:rPr>
            </w:pPr>
          </w:p>
        </w:tc>
        <w:tc>
          <w:tcPr>
            <w:tcW w:w="1120" w:type="dxa"/>
            <w:vAlign w:val="bottom"/>
          </w:tcPr>
          <w:p>
            <w:pPr>
              <w:jc w:val="right"/>
              <w:ind w:right="156"/>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111,104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11,000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600</w:t>
            </w:r>
          </w:p>
        </w:tc>
      </w:tr>
    </w:tbl>
    <w:p>
      <w:pPr>
        <w:spacing w:after="0" w:line="5"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827" w:right="2959" w:hanging="463"/>
        <w:spacing w:after="0" w:line="246" w:lineRule="auto"/>
        <w:tabs>
          <w:tab w:leader="none" w:pos="82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named executives other than Mr. Ennen, amounts for 1999 include $500 in Company matching contributions under a "401(k)" savings plan that is open to substantially all of the Company's employees and officers who have met certain service and age requirements.</w:t>
      </w:r>
    </w:p>
    <w:p>
      <w:pPr>
        <w:spacing w:after="0" w:line="177" w:lineRule="exact"/>
        <w:rPr>
          <w:rFonts w:ascii="Courier New" w:cs="Courier New" w:eastAsia="Courier New" w:hAnsi="Courier New"/>
          <w:sz w:val="15"/>
          <w:szCs w:val="15"/>
          <w:color w:val="auto"/>
        </w:rPr>
      </w:pPr>
    </w:p>
    <w:p>
      <w:pPr>
        <w:ind w:left="827" w:right="3039" w:hanging="463"/>
        <w:spacing w:after="0" w:line="247" w:lineRule="auto"/>
        <w:tabs>
          <w:tab w:leader="none" w:pos="82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for 1999 include $557, $6,767, $233, $109 and $210 in premiums paid by the Company for supplemental life insurance for the benefit of Messrs. Baty, Ennen, Gentry, Dyckman and Sams.</w:t>
      </w:r>
    </w:p>
    <w:p>
      <w:pPr>
        <w:spacing w:after="0" w:line="174" w:lineRule="exact"/>
        <w:rPr>
          <w:rFonts w:ascii="Courier New" w:cs="Courier New" w:eastAsia="Courier New" w:hAnsi="Courier New"/>
          <w:sz w:val="15"/>
          <w:szCs w:val="15"/>
          <w:color w:val="auto"/>
        </w:rPr>
      </w:pPr>
    </w:p>
    <w:p>
      <w:pPr>
        <w:jc w:val="both"/>
        <w:ind w:left="827" w:right="3599" w:hanging="463"/>
        <w:spacing w:after="0" w:line="247" w:lineRule="auto"/>
        <w:tabs>
          <w:tab w:leader="none" w:pos="82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for 1999 includes of $39,585 in premiums paid by the Company on a $1,200,000 life insurance policy for Mr. Ennen, the proceeds of which are payable to his named beneficiaries.</w:t>
      </w:r>
    </w:p>
    <w:p>
      <w:pPr>
        <w:spacing w:after="0" w:line="34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2" w:right="1440" w:bottom="1440" w:gutter="0" w:footer="0" w:header="0"/>
        </w:sectPr>
      </w:pPr>
    </w:p>
    <w:bookmarkStart w:id="11" w:name="page12"/>
    <w:bookmarkEnd w:id="11"/>
    <w:p>
      <w:pPr>
        <w:ind w:left="2080"/>
        <w:spacing w:after="0"/>
        <w:rPr>
          <w:sz w:val="20"/>
          <w:szCs w:val="20"/>
          <w:color w:val="auto"/>
        </w:rPr>
      </w:pPr>
      <w:r>
        <w:rPr>
          <w:rFonts w:ascii="Courier New" w:cs="Courier New" w:eastAsia="Courier New" w:hAnsi="Courier New"/>
          <w:sz w:val="15"/>
          <w:szCs w:val="15"/>
          <w:color w:val="auto"/>
        </w:rPr>
        <w:t>AGGREGATED OPTION EXERCISES IN 1999</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AND YEAR-END OPTION VALUES</w:t>
      </w:r>
    </w:p>
    <w:p>
      <w:pPr>
        <w:spacing w:after="0" w:line="180" w:lineRule="exact"/>
        <w:rPr>
          <w:sz w:val="20"/>
          <w:szCs w:val="20"/>
          <w:color w:val="auto"/>
        </w:rPr>
      </w:pPr>
    </w:p>
    <w:p>
      <w:pPr>
        <w:ind w:right="1540" w:firstLine="818"/>
        <w:spacing w:after="0" w:line="246" w:lineRule="auto"/>
        <w:rPr>
          <w:sz w:val="20"/>
          <w:szCs w:val="20"/>
          <w:color w:val="auto"/>
        </w:rPr>
      </w:pPr>
      <w:r>
        <w:rPr>
          <w:rFonts w:ascii="Courier New" w:cs="Courier New" w:eastAsia="Courier New" w:hAnsi="Courier New"/>
          <w:sz w:val="15"/>
          <w:szCs w:val="15"/>
          <w:color w:val="auto"/>
        </w:rPr>
        <w:t>The following table sets forth certain information concerning stock option exercises during 1999 and option values at year-end, with respect to stock options granted to the executive officers named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NUMBER OF UNEXERCISED</w:t>
            </w:r>
          </w:p>
        </w:tc>
      </w:tr>
      <w:tr>
        <w:trPr>
          <w:trHeight w:val="175"/>
        </w:trPr>
        <w:tc>
          <w:tcPr>
            <w:tcW w:w="32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460" w:type="dxa"/>
            <w:vAlign w:val="bottom"/>
          </w:tcPr>
          <w:p>
            <w:pPr>
              <w:spacing w:after="0"/>
              <w:rPr>
                <w:sz w:val="15"/>
                <w:szCs w:val="15"/>
                <w:color w:val="auto"/>
              </w:rPr>
            </w:pPr>
          </w:p>
        </w:tc>
        <w:tc>
          <w:tcPr>
            <w:tcW w:w="22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OPTIONS AT YEAR-END (#)</w:t>
            </w:r>
          </w:p>
        </w:tc>
      </w:tr>
      <w:tr>
        <w:trPr>
          <w:trHeight w:val="175"/>
        </w:trPr>
        <w:tc>
          <w:tcPr>
            <w:tcW w:w="3260" w:type="dxa"/>
            <w:vAlign w:val="bottom"/>
          </w:tcPr>
          <w:p>
            <w:pPr>
              <w:spacing w:after="0"/>
              <w:rPr>
                <w:sz w:val="15"/>
                <w:szCs w:val="15"/>
                <w:color w:val="auto"/>
              </w:rPr>
            </w:pPr>
          </w:p>
        </w:tc>
        <w:tc>
          <w:tcPr>
            <w:tcW w:w="15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ACQUIRED ON</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7"/>
              </w:rPr>
              <w:t>VALUE</w:t>
            </w:r>
          </w:p>
        </w:tc>
        <w:tc>
          <w:tcPr>
            <w:tcW w:w="2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EXERCISABLE/</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EXERCISE (#)</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REALIZED ($)</w:t>
            </w:r>
          </w:p>
        </w:tc>
        <w:tc>
          <w:tcPr>
            <w:tcW w:w="22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524"/>
        </w:trPr>
        <w:tc>
          <w:tcPr>
            <w:tcW w:w="3260" w:type="dxa"/>
            <w:vAlign w:val="bottom"/>
          </w:tcPr>
          <w:p>
            <w:pPr>
              <w:spacing w:after="0"/>
              <w:rPr>
                <w:sz w:val="20"/>
                <w:szCs w:val="20"/>
                <w:color w:val="auto"/>
              </w:rPr>
            </w:pPr>
            <w:r>
              <w:rPr>
                <w:rFonts w:ascii="Courier New" w:cs="Courier New" w:eastAsia="Courier New" w:hAnsi="Courier New"/>
                <w:sz w:val="15"/>
                <w:szCs w:val="15"/>
                <w:color w:val="auto"/>
              </w:rPr>
              <w:t>Roderick R. Baty . .. . . . . . .</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120,000/115,000</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Richard D. Ennen . . . . . . . .</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22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Frank T. Gentry  . . . . . . . . .</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2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28,800/26,850</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David L. Dyckman . . . . . . .</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2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8,000/50,000</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Robert T. Sams . . . . . . . . .</w:t>
            </w:r>
          </w:p>
        </w:tc>
        <w:tc>
          <w:tcPr>
            <w:tcW w:w="15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2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8,000/21,800</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820" w:right="1440" w:hanging="463"/>
        <w:spacing w:after="0" w:line="247" w:lineRule="auto"/>
        <w:tabs>
          <w:tab w:leader="none" w:pos="8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1999, the market price of the Common Stock was $7.25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 WITH MR. BATY</w:t>
      </w:r>
    </w:p>
    <w:p>
      <w:pPr>
        <w:spacing w:after="0" w:line="180" w:lineRule="exact"/>
        <w:rPr>
          <w:sz w:val="20"/>
          <w:szCs w:val="20"/>
          <w:color w:val="auto"/>
        </w:rPr>
      </w:pPr>
    </w:p>
    <w:p>
      <w:pPr>
        <w:ind w:right="1180" w:firstLine="818"/>
        <w:spacing w:after="0" w:line="246" w:lineRule="auto"/>
        <w:rPr>
          <w:sz w:val="20"/>
          <w:szCs w:val="20"/>
          <w:color w:val="auto"/>
        </w:rPr>
      </w:pPr>
      <w:r>
        <w:rPr>
          <w:rFonts w:ascii="Courier New" w:cs="Courier New" w:eastAsia="Courier New" w:hAnsi="Courier New"/>
          <w:sz w:val="15"/>
          <w:szCs w:val="15"/>
          <w:color w:val="auto"/>
        </w:rPr>
        <w:t>Mr. Baty has a written agreement to serve as President and Chief Executive Officer until July 31, 2000 which extends automatically for successive one-year terms unless either party gives notice of termination. The Company may terminate the employment of Mr. Baty with or without cause, but if terminated without cause, Mr. Baty would continue to receive his annual salary, paid on a monthly basis, for one year from the date of termination. Mr. Baty has also agreed to a non-competition agreement that ends two years after the conclusion of his employment with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 WITH MR. GENTRY</w:t>
      </w:r>
    </w:p>
    <w:p>
      <w:pPr>
        <w:spacing w:after="0" w:line="180" w:lineRule="exact"/>
        <w:rPr>
          <w:sz w:val="20"/>
          <w:szCs w:val="20"/>
          <w:color w:val="auto"/>
        </w:rPr>
      </w:pPr>
    </w:p>
    <w:p>
      <w:pPr>
        <w:ind w:right="1260" w:firstLine="818"/>
        <w:spacing w:after="0" w:line="246" w:lineRule="auto"/>
        <w:rPr>
          <w:sz w:val="20"/>
          <w:szCs w:val="20"/>
          <w:color w:val="auto"/>
        </w:rPr>
      </w:pPr>
      <w:r>
        <w:rPr>
          <w:rFonts w:ascii="Courier New" w:cs="Courier New" w:eastAsia="Courier New" w:hAnsi="Courier New"/>
          <w:sz w:val="15"/>
          <w:szCs w:val="15"/>
          <w:color w:val="auto"/>
        </w:rPr>
        <w:t>Mr. Gentry has a written employment agreement to serve as Vice President - Manufacturing until March 31, 2000 that extends automatically for successive one-year terms unless either party gives notice of termination. The Company may terminate Mr. Gentry's employment with or without cause, but if Mr. Gentry is terminated without cause, he would continue to receive his annual salary, paid on a monthly basis, for one year from the date of termination. Mr. Gentry has also agreed to a non-competition agreement that ends two years after the conclusion of his employment with the Company.</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IN-THE-MONEY</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AT YEAR-END ($)(1)</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UNEXERCISABLE</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0/$111,350</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0/$20,829</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0/$40,980</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0/$20,698</w:t>
      </w:r>
    </w:p>
    <w:p>
      <w:pPr>
        <w:sectPr>
          <w:pgSz w:w="11900" w:h="16838" w:orient="portrait"/>
          <w:cols w:equalWidth="0" w:num="2">
            <w:col w:w="8440" w:space="640"/>
            <w:col w:w="1820"/>
          </w:cols>
          <w:pgMar w:left="240" w:top="643" w:right="759" w:bottom="1440" w:gutter="0" w:footer="0" w:header="0"/>
        </w:sectPr>
      </w:pPr>
    </w:p>
    <w:bookmarkStart w:id="12" w:name="page13"/>
    <w:bookmarkEnd w:id="12"/>
    <w:p>
      <w:pPr>
        <w:ind w:left="2000"/>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Compensation Committee of the Board of Directors is responsible for the oversight of the Company's compensation policies. The membership of the Compensation Committee during 1999 consisted of G. Ronald Morris, Michael E. Werner and Steven T. Warshaw. The report of the Committee on executive officer compensation for 1999 is set forth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PRINCIPLES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177" w:lineRule="exact"/>
        <w:rPr>
          <w:sz w:val="20"/>
          <w:szCs w:val="20"/>
          <w:color w:val="auto"/>
        </w:rPr>
      </w:pPr>
    </w:p>
    <w:p>
      <w:pPr>
        <w:ind w:left="820" w:right="3319" w:hanging="463"/>
        <w:spacing w:after="0" w:line="247" w:lineRule="auto"/>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attracting and retaining qualified and dedicated executives who are essential to the long-term success of the Company;</w:t>
      </w:r>
    </w:p>
    <w:p>
      <w:pPr>
        <w:spacing w:after="0" w:line="174" w:lineRule="exact"/>
        <w:rPr>
          <w:rFonts w:ascii="Courier New" w:cs="Courier New" w:eastAsia="Courier New" w:hAnsi="Courier New"/>
          <w:sz w:val="15"/>
          <w:szCs w:val="15"/>
          <w:color w:val="auto"/>
        </w:rPr>
      </w:pPr>
    </w:p>
    <w:p>
      <w:pPr>
        <w:ind w:left="820" w:right="3219" w:hanging="463"/>
        <w:spacing w:after="0" w:line="247" w:lineRule="auto"/>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compensation packages that are competitive with the compensation arrangements offered by comparable companies, including the Company's competitors;</w:t>
      </w:r>
    </w:p>
    <w:p>
      <w:pPr>
        <w:spacing w:after="0" w:line="174" w:lineRule="exact"/>
        <w:rPr>
          <w:rFonts w:ascii="Courier New" w:cs="Courier New" w:eastAsia="Courier New" w:hAnsi="Courier New"/>
          <w:sz w:val="15"/>
          <w:szCs w:val="15"/>
          <w:color w:val="auto"/>
        </w:rPr>
      </w:pPr>
    </w:p>
    <w:p>
      <w:pPr>
        <w:ind w:left="820" w:right="3139" w:hanging="463"/>
        <w:spacing w:after="0" w:line="247" w:lineRule="auto"/>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tying a significant portion of an executive officer's compensation to the Company's and the individual's performance; and</w:t>
      </w:r>
    </w:p>
    <w:p>
      <w:pPr>
        <w:spacing w:after="0" w:line="174" w:lineRule="exact"/>
        <w:rPr>
          <w:rFonts w:ascii="Courier New" w:cs="Courier New" w:eastAsia="Courier New" w:hAnsi="Courier New"/>
          <w:sz w:val="15"/>
          <w:szCs w:val="15"/>
          <w:color w:val="auto"/>
        </w:rPr>
      </w:pPr>
    </w:p>
    <w:p>
      <w:pPr>
        <w:ind w:left="820" w:right="2959" w:hanging="463"/>
        <w:spacing w:after="0" w:line="247" w:lineRule="auto"/>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aligning the interests of management with the interests of the stockholders through stock-based compensation arrangements.</w:t>
      </w:r>
    </w:p>
    <w:p>
      <w:pPr>
        <w:spacing w:after="0" w:line="17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1999, the components of the Company's executive compensation arrangements consisted of salary, cash bonuses and stock option awards pursuant to the Stock Incentive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COMPENSATION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As a general matter, the Company believes that the interests of the Company and its stockholders are best served by maintaining a flexible approach to executive compensation. In this regard, the Company tends to rely on subjective criteria rather than a preestablished formula. The Committee currently is considering, however, the implementation of a more formal compensation structure whereby, for example, specific salary ranges would be prescribed for particular positions within the Company and bonus awards would be tied to preestablished criteria.</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1999, the Compensation Committee requested that Mr. Ennen, the Chairman of the Company, and Mr. Baty, the Chief Executive Officer of the Company, make recommendations as to the appropriate salary and number of stock options, if any, to be granted to each of the Company's executive officers. The Compensation Committee, following due consideration, adopted substantially all such recommendations. The Committee delegated authority to Mr. Baty to set the annual bonus amounts for each of the executive officers of the Company, other than Mr. Ennen and himself, without further formal approval by the Committee.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SALARY. The salary level for the Company's executive officers generally is determined biannually. A base salary level is established for each executive officer by reference to salaries historically paid by the Company to its executive officers and to salaries paid to executive officers holding comparable positions with comparable companies in the Company's geographic region. From time to time the Company also consults published reports that compile salary and bonus information for small-to-medium sized companies (some but not all of which may be companies that comprise the Value Line Machinery Industry Stock Index the performance of which are presented in the "Stock Performance Graph"). The Company typically targets its base salary levels approximately at the midpoint of the competitive salary range. The target levels are then adjusted based on a number of</w:t>
      </w:r>
    </w:p>
    <w:p>
      <w:pPr>
        <w:spacing w:after="0" w:line="35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3" w:name="page14"/>
    <w:bookmarkEnd w:id="13"/>
    <w:p>
      <w:pPr>
        <w:ind w:right="3419"/>
        <w:spacing w:after="0" w:line="247" w:lineRule="auto"/>
        <w:rPr>
          <w:sz w:val="20"/>
          <w:szCs w:val="20"/>
          <w:color w:val="auto"/>
        </w:rPr>
      </w:pPr>
      <w:r>
        <w:rPr>
          <w:rFonts w:ascii="Courier New" w:cs="Courier New" w:eastAsia="Courier New" w:hAnsi="Courier New"/>
          <w:sz w:val="15"/>
          <w:szCs w:val="15"/>
          <w:color w:val="auto"/>
        </w:rPr>
        <w:t>subjective factors, including the executive's scope of responsibility and individual performance, and to maintain equity within the Company's overall salary structure.</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ANNUAL BONUS. Decisions regarding bonuses to executives are made annually. As with the Company's other compensation practices, the receipt of a bonus is dependent, for the most part, upon a subjective evaluation of corporate performance and of the contribution of the particular individual to the attainment of such performance.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bonuses paid to the named executive officers for 1999 are set forth in the Summary Compensation Table. The most significant considerations underlying the award of bonuses for 1999 were continued improvement in the quality of the Company's products and services and the Company's continued profitabliity.</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STOCK INCENTIVE PLAN. Prior to its initial public offering in 1994, the Company adopted the Stock Incentive Plan under which 1,125,000 shares of the Company's Common Stock have been reserved for issuance to executive officers and other key employees, as determined by the Compensation Committee. The Stock Incentive Plan was amended at the 1999 Annual Meeting by an affirmative vote of the holders of a majority of the outstanding shares of the Common Stock to increase the number of shares available for issuance pursuant to awards made under the plan from 1,125,000 to 1,625,000. The Company awarded options to purchase, in the aggregate, 539,175 shares of Common Stock to six of its executive officers and other key employees during 1999. With respect to the options awarded, the Committee determined, on a subjective basis, and based upon the recommendations of Messrs. Ennen and Baty, that such awards were appropriate to reward such officers and other key employees for superior performance and to provide financial incentives for such officers and employees to continue to perform in a superior manner.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Company's decisions regarding compensation of its Chief Executive Officer are guided by the same policies and considerations that govern compensation of the Company's other executive officers. Mr. Baty's salary was set at a level that the Committee, after consideration of Mr. Ennen's recommendation, determined was appropriate in light of the Company's performance.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1999 will exceed the limit imposed by Section 162(m).</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G. Ronald Morris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Michael E. Werner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Steven T. Warshaw</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4" w:name="page15"/>
    <w:bookmarkEnd w:id="14"/>
    <w:p>
      <w:pPr>
        <w:ind w:left="2900"/>
        <w:spacing w:after="0"/>
        <w:rPr>
          <w:sz w:val="20"/>
          <w:szCs w:val="20"/>
          <w:color w:val="auto"/>
        </w:rPr>
      </w:pPr>
      <w:r>
        <w:rPr>
          <w:rFonts w:ascii="Courier New" w:cs="Courier New" w:eastAsia="Courier New" w:hAnsi="Courier New"/>
          <w:sz w:val="15"/>
          <w:szCs w:val="15"/>
          <w:color w:val="auto"/>
        </w:rPr>
        <w:t>PERFORMANCE GRAPH</w:t>
      </w:r>
    </w:p>
    <w:p>
      <w:pPr>
        <w:spacing w:after="0" w:line="180" w:lineRule="exact"/>
        <w:rPr>
          <w:sz w:val="20"/>
          <w:szCs w:val="20"/>
          <w:color w:val="auto"/>
        </w:rPr>
      </w:pPr>
    </w:p>
    <w:p>
      <w:pPr>
        <w:ind w:right="4260" w:firstLine="818"/>
        <w:spacing w:after="0" w:line="246" w:lineRule="auto"/>
        <w:rPr>
          <w:sz w:val="20"/>
          <w:szCs w:val="20"/>
          <w:color w:val="auto"/>
        </w:rPr>
      </w:pPr>
      <w:r>
        <w:rPr>
          <w:rFonts w:ascii="Courier New" w:cs="Courier New" w:eastAsia="Courier New" w:hAnsi="Courier New"/>
          <w:sz w:val="15"/>
          <w:szCs w:val="15"/>
          <w:color w:val="auto"/>
        </w:rPr>
        <w:t>The following graph compares the cumulative total stockholder return on the Company's Common Stock (consisting of stock price performance and reinvested dividends) from December 31, 1994 with the cumulative total return (assuming reinvestment of all dividends) of (i) the Value Line Machinery Industry Stock Index and (ii) the Standard &amp; Poor's 500 Stock Index, for the period December 31, 1994 through December 31, 1999.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1994. There can be no assurances that the performance of the Common Stock will continue in the future with the same or similar trend depicted on the graph.</w:t>
      </w:r>
    </w:p>
    <w:p>
      <w:pPr>
        <w:spacing w:after="0" w:line="200" w:lineRule="exact"/>
        <w:rPr>
          <w:sz w:val="20"/>
          <w:szCs w:val="20"/>
          <w:color w:val="auto"/>
        </w:rPr>
      </w:pPr>
    </w:p>
    <w:p>
      <w:pPr>
        <w:spacing w:after="0" w:line="33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CUMULATIVE TOTAL STOCKHOLDER RETURN</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DEC.31, 1994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DEC.31,</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DEC.31,1996</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DEC.31,1997</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DEC.31,1998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DEC.31,1999</w:t>
            </w:r>
          </w:p>
        </w:tc>
      </w:tr>
      <w:tr>
        <w:trPr>
          <w:trHeight w:val="175"/>
        </w:trPr>
        <w:tc>
          <w:tcPr>
            <w:tcW w:w="386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860" w:type="dxa"/>
            <w:vAlign w:val="bottom"/>
          </w:tcPr>
          <w:p>
            <w:pPr>
              <w:spacing w:after="0"/>
              <w:rPr>
                <w:sz w:val="20"/>
                <w:szCs w:val="20"/>
                <w:color w:val="auto"/>
              </w:rPr>
            </w:pPr>
            <w:r>
              <w:rPr>
                <w:rFonts w:ascii="Courier New" w:cs="Courier New" w:eastAsia="Courier New" w:hAnsi="Courier New"/>
                <w:sz w:val="15"/>
                <w:szCs w:val="15"/>
                <w:color w:val="auto"/>
              </w:rPr>
              <w:t>NN Ball &amp; Roller, Inc . . . . . . . . . .</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210.74</w:t>
            </w:r>
          </w:p>
        </w:tc>
        <w:tc>
          <w:tcPr>
            <w:tcW w:w="560" w:type="dxa"/>
            <w:vAlign w:val="bottom"/>
          </w:tcPr>
          <w:p>
            <w:pPr>
              <w:spacing w:after="0"/>
              <w:rPr>
                <w:sz w:val="24"/>
                <w:szCs w:val="24"/>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186.92</w:t>
            </w: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112.05</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76.78</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101.10</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Value Line Machinery Index . . . . . . .</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137.50</w:t>
            </w:r>
          </w:p>
        </w:tc>
        <w:tc>
          <w:tcPr>
            <w:tcW w:w="56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169.47</w:t>
            </w: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226.03</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290.22</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349.08</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Standard &amp; Poor's 500 . . . . . . . . . .</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141.70</w:t>
            </w:r>
          </w:p>
        </w:tc>
        <w:tc>
          <w:tcPr>
            <w:tcW w:w="56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180.24</w:t>
            </w: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276.01</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235.78</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321.13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0"/>
          </w:cols>
          <w:pgMar w:left="240" w:top="643" w:right="139" w:bottom="1440" w:gutter="0" w:footer="0" w:header="0"/>
        </w:sectPr>
      </w:pPr>
    </w:p>
    <w:bookmarkStart w:id="15" w:name="page16"/>
    <w:bookmarkEnd w:id="15"/>
    <w:p>
      <w:pPr>
        <w:ind w:left="3080"/>
        <w:spacing w:after="0"/>
        <w:rPr>
          <w:sz w:val="20"/>
          <w:szCs w:val="20"/>
          <w:color w:val="auto"/>
        </w:rPr>
      </w:pPr>
      <w:r>
        <w:rPr>
          <w:rFonts w:ascii="Courier New" w:cs="Courier New" w:eastAsia="Courier New" w:hAnsi="Courier New"/>
          <w:sz w:val="15"/>
          <w:szCs w:val="15"/>
          <w:color w:val="auto"/>
        </w:rPr>
        <w:t>ANNUAL REPORT</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The Company's 1999 Annual Report to Stockholders, which includes its Annual Report on Form 10-K for the year ended December 31, 1999, is being mailed together with this Proxy Statement.</w:t>
      </w:r>
    </w:p>
    <w:p>
      <w:pPr>
        <w:spacing w:after="0" w:line="17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William C. Kelly, Jr.</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Secretary</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STOCKHOLDERS ARE REQUESTED TO MARK, DATE AND SIGN THE ENCLOSED PROXY CARD AND RETURN IT IN THE ENCLOSED ENVELOPE. YOUR PROMPT RESPONSE WILL BE HELPFUL, AND YOUR COOPERATION WILL BE APPRECIATED.</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2827" w:right="3832" w:hanging="191"/>
        <w:spacing w:after="0" w:line="264" w:lineRule="auto"/>
        <w:tabs>
          <w:tab w:leader="none" w:pos="291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spacing w:after="0" w:line="1" w:lineRule="exact"/>
        <w:rPr>
          <w:sz w:val="20"/>
          <w:szCs w:val="20"/>
          <w:color w:val="auto"/>
        </w:rPr>
      </w:pPr>
    </w:p>
    <w:p>
      <w:pPr>
        <w:jc w:val="center"/>
        <w:ind w:right="1185"/>
        <w:spacing w:after="0"/>
        <w:rPr>
          <w:sz w:val="20"/>
          <w:szCs w:val="20"/>
          <w:color w:val="auto"/>
        </w:rPr>
      </w:pPr>
      <w:r>
        <w:rPr>
          <w:rFonts w:ascii="Courier New" w:cs="Courier New" w:eastAsia="Courier New" w:hAnsi="Courier New"/>
          <w:sz w:val="15"/>
          <w:szCs w:val="15"/>
          <w:color w:val="auto"/>
        </w:rPr>
        <w:t>ERWIN, TENNESSEE 37650</w:t>
      </w:r>
    </w:p>
    <w:p>
      <w:pPr>
        <w:spacing w:after="0" w:line="180" w:lineRule="exact"/>
        <w:rPr>
          <w:sz w:val="20"/>
          <w:szCs w:val="20"/>
          <w:color w:val="auto"/>
        </w:rPr>
      </w:pPr>
    </w:p>
    <w:p>
      <w:pPr>
        <w:jc w:val="both"/>
        <w:ind w:left="7" w:right="1372" w:firstLine="364"/>
        <w:spacing w:after="0" w:line="247" w:lineRule="auto"/>
        <w:rPr>
          <w:sz w:val="20"/>
          <w:szCs w:val="20"/>
          <w:color w:val="auto"/>
        </w:rPr>
      </w:pPr>
      <w:r>
        <w:rPr>
          <w:rFonts w:ascii="Courier New" w:cs="Courier New" w:eastAsia="Courier New" w:hAnsi="Courier New"/>
          <w:sz w:val="15"/>
          <w:szCs w:val="15"/>
          <w:color w:val="auto"/>
        </w:rPr>
        <w:t>SOLICITED BY THE BOARD OF DIRECTORS FOR THE ANNUAL MEETING OF STOCKHOLDERS TO BE HELD ON MAY 11, AT THE RENAISSANCE CHARLOTTE SUITES HOTEL 2800 COLISEUM CENTRE DRIVE, CHARLOTTE, NORTH CAROLINA, 28217</w:t>
      </w:r>
    </w:p>
    <w:p>
      <w:pPr>
        <w:spacing w:after="0" w:line="174" w:lineRule="exact"/>
        <w:rPr>
          <w:sz w:val="20"/>
          <w:szCs w:val="20"/>
          <w:color w:val="auto"/>
        </w:rPr>
      </w:pPr>
    </w:p>
    <w:p>
      <w:pPr>
        <w:ind w:left="7" w:right="1192" w:firstLine="364"/>
        <w:spacing w:after="0" w:line="246" w:lineRule="auto"/>
        <w:rPr>
          <w:sz w:val="20"/>
          <w:szCs w:val="20"/>
          <w:color w:val="auto"/>
        </w:rPr>
      </w:pPr>
      <w:r>
        <w:rPr>
          <w:rFonts w:ascii="Courier New" w:cs="Courier New" w:eastAsia="Courier New" w:hAnsi="Courier New"/>
          <w:sz w:val="15"/>
          <w:szCs w:val="15"/>
          <w:color w:val="auto"/>
        </w:rPr>
        <w:t>The undersigned stockholder hereby appoints Richard D. Ennen and Roderick R. Baty, and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78" w:lineRule="exact"/>
        <w:rPr>
          <w:sz w:val="20"/>
          <w:szCs w:val="20"/>
          <w:color w:val="auto"/>
        </w:rPr>
      </w:pPr>
    </w:p>
    <w:p>
      <w:pPr>
        <w:ind w:left="7" w:right="1652" w:firstLine="364"/>
        <w:spacing w:after="0" w:line="246" w:lineRule="auto"/>
        <w:rPr>
          <w:sz w:val="20"/>
          <w:szCs w:val="20"/>
          <w:color w:val="auto"/>
        </w:rPr>
      </w:pPr>
      <w:r>
        <w:rPr>
          <w:rFonts w:ascii="Courier New" w:cs="Courier New" w:eastAsia="Courier New" w:hAnsi="Courier New"/>
          <w:sz w:val="15"/>
          <w:szCs w:val="15"/>
          <w:color w:val="auto"/>
        </w:rPr>
        <w:t>THE SHARES REPRESENTED BY THIS PROXY WILL BE VOTED AS DIRECTED BY THE STOCKHOLDER. IF NO DIRECTION IS GIVEN, SHARES WILL BE VOTED FOR EACH OF THE DIRECTOR NOMINEES, FOR THE AMENDMENT TO THE COMPANY'S CERTIFICATE OF INCORPORATION AND FOR THE RATIFICATION OF THE SELECTION OF PRICEWATERHOUSECOOPERS LLP AS INDEPENDENT AUDITORS.</w:t>
      </w:r>
    </w:p>
    <w:p>
      <w:pPr>
        <w:spacing w:after="0" w:line="178" w:lineRule="exact"/>
        <w:rPr>
          <w:sz w:val="20"/>
          <w:szCs w:val="20"/>
          <w:color w:val="auto"/>
        </w:rPr>
      </w:pPr>
    </w:p>
    <w:p>
      <w:pPr>
        <w:ind w:left="7" w:right="1272" w:firstLine="364"/>
        <w:spacing w:after="0" w:line="246" w:lineRule="auto"/>
        <w:rPr>
          <w:sz w:val="20"/>
          <w:szCs w:val="20"/>
          <w:color w:val="auto"/>
        </w:rPr>
      </w:pPr>
      <w:r>
        <w:rPr>
          <w:rFonts w:ascii="Courier New" w:cs="Courier New" w:eastAsia="Courier New" w:hAnsi="Courier New"/>
          <w:sz w:val="15"/>
          <w:szCs w:val="15"/>
          <w:color w:val="auto"/>
        </w:rPr>
        <w:t>THE BOARD OF DIRECTORS RECOMMENDS A VOTE FOR EACH OF THE DIRECTOR NOMINEES, FOR THE AMENDMENT TO THE COMPANY'S CERTIFICATE OF INCORPORATION AND FOR THE RATIFICATION OF THE SELECTION OF PRICEWATERHOUSECOOPERS LLP AS INDEPENDENT AUDITORS.</w:t>
      </w:r>
    </w:p>
    <w:p>
      <w:pPr>
        <w:spacing w:after="0" w:line="200" w:lineRule="exact"/>
        <w:rPr>
          <w:sz w:val="20"/>
          <w:szCs w:val="20"/>
          <w:color w:val="auto"/>
        </w:rPr>
      </w:pPr>
    </w:p>
    <w:p>
      <w:pPr>
        <w:spacing w:after="0" w:line="32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Please mark your votes as indicated in the example /X/</w:t>
      </w:r>
    </w:p>
    <w:p>
      <w:pPr>
        <w:spacing w:after="0" w:line="5" w:lineRule="exact"/>
        <w:rPr>
          <w:sz w:val="20"/>
          <w:szCs w:val="20"/>
          <w:color w:val="auto"/>
        </w:rPr>
      </w:pPr>
    </w:p>
    <w:p>
      <w:pPr>
        <w:ind w:left="447" w:hanging="447"/>
        <w:spacing w:after="0"/>
        <w:tabs>
          <w:tab w:leader="none" w:pos="4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Richard D. Ennen, Roderick R. Baty. For, except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vote withheld from the following nominee(s)</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tabs>
          <w:tab w:leader="none" w:pos="660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WITHHELD</w:t>
      </w:r>
    </w:p>
    <w:p>
      <w:pPr>
        <w:spacing w:after="0" w:line="180"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2.</w:t>
        <w:tab/>
        <w:t>To approve the amendment to the Company's Certificate of</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Incorporation to change the Company's name to NN, Inc.</w:t>
      </w:r>
    </w:p>
    <w:p>
      <w:pPr>
        <w:spacing w:after="0" w:line="5" w:lineRule="exact"/>
        <w:rPr>
          <w:sz w:val="20"/>
          <w:szCs w:val="20"/>
          <w:color w:val="auto"/>
        </w:rPr>
      </w:pPr>
    </w:p>
    <w:p>
      <w:pPr>
        <w:ind w:left="2827"/>
        <w:spacing w:after="0"/>
        <w:tabs>
          <w:tab w:leader="none" w:pos="578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p>
    <w:p>
      <w:pPr>
        <w:spacing w:after="0" w:line="5" w:lineRule="exact"/>
        <w:rPr>
          <w:sz w:val="20"/>
          <w:szCs w:val="20"/>
          <w:color w:val="auto"/>
        </w:rPr>
      </w:pPr>
    </w:p>
    <w:p>
      <w:pPr>
        <w:ind w:left="447" w:right="2552" w:hanging="447"/>
        <w:spacing w:after="0" w:line="246" w:lineRule="auto"/>
        <w:tabs>
          <w:tab w:leader="none" w:pos="4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selection of PricewaterhouseCooopers LLP as independent auditors.</w:t>
      </w:r>
    </w:p>
    <w:p>
      <w:pPr>
        <w:spacing w:after="0" w:line="1" w:lineRule="exact"/>
        <w:rPr>
          <w:sz w:val="20"/>
          <w:szCs w:val="20"/>
          <w:color w:val="auto"/>
        </w:rPr>
      </w:pPr>
    </w:p>
    <w:p>
      <w:pPr>
        <w:ind w:left="2827"/>
        <w:spacing w:after="0"/>
        <w:tabs>
          <w:tab w:leader="none" w:pos="578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ABSTAIN</w:t>
      </w:r>
    </w:p>
    <w:p>
      <w:pPr>
        <w:spacing w:after="0" w:line="35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ABSTAIN</w:t>
      </w:r>
    </w:p>
    <w:p>
      <w:pPr>
        <w:sectPr>
          <w:pgSz w:w="11900" w:h="16838" w:orient="portrait"/>
          <w:cols w:equalWidth="0" w:num="2">
            <w:col w:w="8459" w:space="720"/>
            <w:col w:w="1047"/>
          </w:cols>
          <w:pgMar w:left="233" w:top="468" w:right="1440" w:bottom="1440" w:gutter="0" w:footer="0" w:header="0"/>
        </w:sectPr>
      </w:pPr>
    </w:p>
    <w:bookmarkStart w:id="18" w:name="page19"/>
    <w:bookmarkEnd w:id="18"/>
    <w:p>
      <w:pPr>
        <w:ind w:right="3039" w:firstLine="364"/>
        <w:spacing w:after="0" w:line="246"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EACH OF THE DIRECTOR NOMINEES, FOR THE AMENDMENT TO THE STOCK INCENTIVE PLAN AND FOR THE RATIFICATION OF THE SELECTION OF PRICEWATERHOUSECOOPERS LLP AS INDEPENDENT AUDITORS.</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w:t>
      </w:r>
    </w:p>
    <w:p>
      <w:pPr>
        <w:spacing w:after="0" w:line="175"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Note: 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78"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SIGNATURE(S) ______________________</w:t>
      </w:r>
    </w:p>
    <w:p>
      <w:pPr>
        <w:spacing w:after="0" w:line="180"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DATE ______________________________</w:t>
      </w:r>
    </w:p>
    <w:p>
      <w:pPr>
        <w:spacing w:after="0" w:line="180"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SIGNATURE(S) ______________________</w:t>
      </w:r>
    </w:p>
    <w:p>
      <w:pPr>
        <w:spacing w:after="0" w:line="180"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DATE ______________________________</w:t>
      </w:r>
    </w:p>
    <w:sectPr>
      <w:pgSz w:w="11900" w:h="16838" w:orient="portrait"/>
      <w:cols w:equalWidth="0" w:num="1">
        <w:col w:w="10219"/>
      </w:cols>
      <w:pgMar w:left="240" w:top="4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lvl w:ilvl="2">
      <w:lvlJc w:val="left"/>
      <w:lvlText w:val="%3"/>
      <w:numFmt w:val="upperLetter"/>
      <w:start w:val="40"/>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upperLetter"/>
      <w:start w:val="40"/>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lvl w:ilvl="1">
      <w:lvlJc w:val="left"/>
      <w:lvlText w:val="(%2)"/>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o"/>
      <w:numFmt w:val="bullet"/>
      <w:start w:val="1"/>
    </w:lvl>
  </w:abstractNum>
  <w:abstractNum w:abstractNumId="12">
    <w:nsid w:val="7FDCC233"/>
    <w:multiLevelType w:val="hybridMultilevel"/>
    <w:lvl w:ilvl="0">
      <w:lvlJc w:val="left"/>
      <w:lvlText w:val="%1"/>
      <w:numFmt w:val="upperLetter"/>
      <w:start w:val="40"/>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3"/>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2019-12-14T03:08:57Z</dcterms:created>
  <dcterms:modified xsi:type="dcterms:W3CDTF">2019-12-14T03:08:57Z</dcterms:modified>
</cp:coreProperties>
</file>