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75" w:lineRule="exact"/>
        <w:rPr>
          <w:sz w:val="24"/>
          <w:szCs w:val="24"/>
          <w:color w:val="auto"/>
        </w:rPr>
      </w:pPr>
    </w:p>
    <w:p>
      <w:pPr>
        <w:ind w:left="160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81" w:lineRule="exact"/>
        <w:rPr>
          <w:sz w:val="24"/>
          <w:szCs w:val="24"/>
          <w:color w:val="auto"/>
        </w:rPr>
      </w:pPr>
    </w:p>
    <w:p>
      <w:pPr>
        <w:spacing w:after="0"/>
        <w:rPr>
          <w:sz w:val="20"/>
          <w:szCs w:val="20"/>
          <w:color w:val="auto"/>
        </w:rPr>
      </w:pPr>
      <w:r>
        <w:rPr>
          <w:rFonts w:ascii="Arial" w:cs="Arial" w:eastAsia="Arial" w:hAnsi="Arial"/>
          <w:sz w:val="21"/>
          <w:szCs w:val="21"/>
          <w:color w:val="auto"/>
        </w:rPr>
        <w:t>Date of Report (Date of earliest event reported): May 3, 2006</w:t>
      </w:r>
    </w:p>
    <w:p>
      <w:pPr>
        <w:spacing w:after="0" w:line="200" w:lineRule="exact"/>
        <w:rPr>
          <w:sz w:val="24"/>
          <w:szCs w:val="24"/>
          <w:color w:val="auto"/>
        </w:rPr>
      </w:pPr>
    </w:p>
    <w:p>
      <w:pPr>
        <w:spacing w:after="0" w:line="321" w:lineRule="exact"/>
        <w:rPr>
          <w:sz w:val="24"/>
          <w:szCs w:val="24"/>
          <w:color w:val="auto"/>
        </w:rPr>
      </w:pPr>
    </w:p>
    <w:p>
      <w:pPr>
        <w:jc w:val="center"/>
        <w:ind w:right="80"/>
        <w:spacing w:after="0"/>
        <w:rPr>
          <w:sz w:val="20"/>
          <w:szCs w:val="20"/>
          <w:color w:val="auto"/>
        </w:rPr>
      </w:pPr>
      <w:r>
        <w:rPr>
          <w:rFonts w:ascii="Arial" w:cs="Arial" w:eastAsia="Arial" w:hAnsi="Arial"/>
          <w:sz w:val="38"/>
          <w:szCs w:val="38"/>
          <w:b w:val="1"/>
          <w:bCs w:val="1"/>
          <w:color w:val="auto"/>
        </w:rPr>
        <w:t>NN,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720" w:type="dxa"/>
            <w:vAlign w:val="bottom"/>
          </w:tcPr>
          <w:p>
            <w:pPr>
              <w:ind w:left="60"/>
              <w:spacing w:after="0"/>
              <w:rPr>
                <w:sz w:val="20"/>
                <w:szCs w:val="20"/>
                <w:color w:val="auto"/>
              </w:rPr>
            </w:pPr>
            <w:r>
              <w:rPr>
                <w:rFonts w:ascii="Arial" w:cs="Arial" w:eastAsia="Arial" w:hAnsi="Arial"/>
                <w:sz w:val="21"/>
                <w:szCs w:val="21"/>
                <w:b w:val="1"/>
                <w:bCs w:val="1"/>
                <w:color w:val="auto"/>
              </w:rPr>
              <w:t>Delaware</w:t>
            </w:r>
          </w:p>
        </w:tc>
        <w:tc>
          <w:tcPr>
            <w:tcW w:w="3360" w:type="dxa"/>
            <w:vAlign w:val="bottom"/>
          </w:tcPr>
          <w:p>
            <w:pPr>
              <w:ind w:left="1720"/>
              <w:spacing w:after="0"/>
              <w:rPr>
                <w:sz w:val="20"/>
                <w:szCs w:val="20"/>
                <w:color w:val="auto"/>
              </w:rPr>
            </w:pPr>
            <w:r>
              <w:rPr>
                <w:rFonts w:ascii="Arial" w:cs="Arial" w:eastAsia="Arial" w:hAnsi="Arial"/>
                <w:sz w:val="21"/>
                <w:szCs w:val="21"/>
                <w:b w:val="1"/>
                <w:bCs w:val="1"/>
                <w:color w:val="auto"/>
              </w:rPr>
              <w:t>0-23486</w:t>
            </w:r>
          </w:p>
        </w:tc>
        <w:tc>
          <w:tcPr>
            <w:tcW w:w="1680" w:type="dxa"/>
            <w:vAlign w:val="bottom"/>
          </w:tcPr>
          <w:p>
            <w:pPr>
              <w:jc w:val="right"/>
              <w:ind w:right="128"/>
              <w:spacing w:after="0"/>
              <w:rPr>
                <w:sz w:val="20"/>
                <w:szCs w:val="20"/>
                <w:color w:val="auto"/>
              </w:rPr>
            </w:pPr>
            <w:r>
              <w:rPr>
                <w:rFonts w:ascii="Arial" w:cs="Arial" w:eastAsia="Arial" w:hAnsi="Arial"/>
                <w:sz w:val="21"/>
                <w:szCs w:val="21"/>
                <w:b w:val="1"/>
                <w:bCs w:val="1"/>
                <w:color w:val="auto"/>
              </w:rPr>
              <w:t>62-1096725</w:t>
            </w:r>
          </w:p>
        </w:tc>
        <w:tc>
          <w:tcPr>
            <w:tcW w:w="0" w:type="dxa"/>
            <w:vAlign w:val="bottom"/>
          </w:tcPr>
          <w:p>
            <w:pPr>
              <w:spacing w:after="0"/>
              <w:rPr>
                <w:sz w:val="1"/>
                <w:szCs w:val="1"/>
                <w:color w:val="auto"/>
              </w:rPr>
            </w:pPr>
          </w:p>
        </w:tc>
      </w:tr>
      <w:tr>
        <w:trPr>
          <w:trHeight w:val="206"/>
        </w:trPr>
        <w:tc>
          <w:tcPr>
            <w:tcW w:w="3720" w:type="dxa"/>
            <w:vAlign w:val="bottom"/>
          </w:tcPr>
          <w:p>
            <w:pPr>
              <w:ind w:left="40"/>
              <w:spacing w:after="0"/>
              <w:rPr>
                <w:sz w:val="20"/>
                <w:szCs w:val="20"/>
                <w:color w:val="auto"/>
              </w:rPr>
            </w:pPr>
            <w:r>
              <w:rPr>
                <w:rFonts w:ascii="Arial" w:cs="Arial" w:eastAsia="Arial" w:hAnsi="Arial"/>
                <w:sz w:val="17"/>
                <w:szCs w:val="17"/>
                <w:color w:val="auto"/>
              </w:rPr>
              <w:t>(State or other jurisdiction</w:t>
            </w:r>
          </w:p>
        </w:tc>
        <w:tc>
          <w:tcPr>
            <w:tcW w:w="3360" w:type="dxa"/>
            <w:vAlign w:val="bottom"/>
          </w:tcPr>
          <w:p>
            <w:pPr>
              <w:ind w:left="1700"/>
              <w:spacing w:after="0"/>
              <w:rPr>
                <w:sz w:val="20"/>
                <w:szCs w:val="20"/>
                <w:color w:val="auto"/>
              </w:rPr>
            </w:pPr>
            <w:r>
              <w:rPr>
                <w:rFonts w:ascii="Arial" w:cs="Arial" w:eastAsia="Arial" w:hAnsi="Arial"/>
                <w:sz w:val="17"/>
                <w:szCs w:val="17"/>
                <w:color w:val="auto"/>
              </w:rPr>
              <w:t>(Commission File</w:t>
            </w:r>
          </w:p>
        </w:tc>
        <w:tc>
          <w:tcPr>
            <w:tcW w:w="1680" w:type="dxa"/>
            <w:vAlign w:val="bottom"/>
          </w:tcPr>
          <w:p>
            <w:pPr>
              <w:ind w:left="400"/>
              <w:spacing w:after="0"/>
              <w:rPr>
                <w:sz w:val="20"/>
                <w:szCs w:val="20"/>
                <w:color w:val="auto"/>
              </w:rPr>
            </w:pPr>
            <w:r>
              <w:rPr>
                <w:rFonts w:ascii="Arial" w:cs="Arial" w:eastAsia="Arial" w:hAnsi="Arial"/>
                <w:sz w:val="17"/>
                <w:szCs w:val="17"/>
                <w:color w:val="auto"/>
              </w:rPr>
              <w:t>(IRS Employer</w:t>
            </w:r>
          </w:p>
        </w:tc>
        <w:tc>
          <w:tcPr>
            <w:tcW w:w="0" w:type="dxa"/>
            <w:vAlign w:val="bottom"/>
          </w:tcPr>
          <w:p>
            <w:pPr>
              <w:spacing w:after="0"/>
              <w:rPr>
                <w:sz w:val="1"/>
                <w:szCs w:val="1"/>
                <w:color w:val="auto"/>
              </w:rPr>
            </w:pPr>
          </w:p>
        </w:tc>
      </w:tr>
      <w:tr>
        <w:trPr>
          <w:trHeight w:val="217"/>
        </w:trPr>
        <w:tc>
          <w:tcPr>
            <w:tcW w:w="3720" w:type="dxa"/>
            <w:vAlign w:val="bottom"/>
          </w:tcPr>
          <w:p>
            <w:pPr>
              <w:ind w:left="80"/>
              <w:spacing w:after="0"/>
              <w:rPr>
                <w:sz w:val="20"/>
                <w:szCs w:val="20"/>
                <w:color w:val="auto"/>
              </w:rPr>
            </w:pPr>
            <w:r>
              <w:rPr>
                <w:rFonts w:ascii="Arial" w:cs="Arial" w:eastAsia="Arial" w:hAnsi="Arial"/>
                <w:sz w:val="17"/>
                <w:szCs w:val="17"/>
                <w:color w:val="auto"/>
              </w:rPr>
              <w:t>of incorporation</w:t>
            </w:r>
          </w:p>
        </w:tc>
        <w:tc>
          <w:tcPr>
            <w:tcW w:w="3360" w:type="dxa"/>
            <w:vAlign w:val="bottom"/>
          </w:tcPr>
          <w:p>
            <w:pPr>
              <w:ind w:left="1760"/>
              <w:spacing w:after="0"/>
              <w:rPr>
                <w:sz w:val="20"/>
                <w:szCs w:val="20"/>
                <w:color w:val="auto"/>
              </w:rPr>
            </w:pPr>
            <w:r>
              <w:rPr>
                <w:rFonts w:ascii="Arial" w:cs="Arial" w:eastAsia="Arial" w:hAnsi="Arial"/>
                <w:sz w:val="17"/>
                <w:szCs w:val="17"/>
                <w:color w:val="auto"/>
              </w:rPr>
              <w:t>Number)</w:t>
            </w:r>
          </w:p>
        </w:tc>
        <w:tc>
          <w:tcPr>
            <w:tcW w:w="1680" w:type="dxa"/>
            <w:vAlign w:val="bottom"/>
          </w:tcPr>
          <w:p>
            <w:pPr>
              <w:ind w:left="400"/>
              <w:spacing w:after="0"/>
              <w:rPr>
                <w:sz w:val="20"/>
                <w:szCs w:val="20"/>
                <w:color w:val="auto"/>
              </w:rPr>
            </w:pPr>
            <w:r>
              <w:rPr>
                <w:rFonts w:ascii="Arial" w:cs="Arial" w:eastAsia="Arial" w:hAnsi="Arial"/>
                <w:sz w:val="17"/>
                <w:szCs w:val="17"/>
                <w:color w:val="auto"/>
                <w:w w:val="95"/>
              </w:rPr>
              <w:t>Identification No.)</w:t>
            </w:r>
          </w:p>
        </w:tc>
        <w:tc>
          <w:tcPr>
            <w:tcW w:w="0" w:type="dxa"/>
            <w:vAlign w:val="bottom"/>
          </w:tcPr>
          <w:p>
            <w:pPr>
              <w:spacing w:after="0"/>
              <w:rPr>
                <w:sz w:val="1"/>
                <w:szCs w:val="1"/>
                <w:color w:val="auto"/>
              </w:rPr>
            </w:pPr>
          </w:p>
        </w:tc>
      </w:tr>
      <w:tr>
        <w:trPr>
          <w:trHeight w:val="671"/>
        </w:trPr>
        <w:tc>
          <w:tcPr>
            <w:tcW w:w="3720" w:type="dxa"/>
            <w:vAlign w:val="bottom"/>
          </w:tcPr>
          <w:p>
            <w:pPr>
              <w:ind w:left="60"/>
              <w:spacing w:after="0"/>
              <w:rPr>
                <w:sz w:val="20"/>
                <w:szCs w:val="20"/>
                <w:color w:val="auto"/>
              </w:rPr>
            </w:pPr>
            <w:r>
              <w:rPr>
                <w:rFonts w:ascii="Arial" w:cs="Arial" w:eastAsia="Arial" w:hAnsi="Arial"/>
                <w:sz w:val="21"/>
                <w:szCs w:val="21"/>
                <w:b w:val="1"/>
                <w:bCs w:val="1"/>
                <w:color w:val="auto"/>
              </w:rPr>
              <w:t>2000 Waters Edge Drive</w:t>
            </w:r>
          </w:p>
        </w:tc>
        <w:tc>
          <w:tcPr>
            <w:tcW w:w="3360" w:type="dxa"/>
            <w:vAlign w:val="bottom"/>
            <w:vMerge w:val="restart"/>
          </w:tcPr>
          <w:p>
            <w:pPr>
              <w:ind w:left="960"/>
              <w:spacing w:after="0"/>
              <w:rPr>
                <w:sz w:val="20"/>
                <w:szCs w:val="20"/>
                <w:color w:val="auto"/>
              </w:rPr>
            </w:pPr>
            <w:r>
              <w:rPr>
                <w:rFonts w:ascii="Arial" w:cs="Arial" w:eastAsia="Arial" w:hAnsi="Arial"/>
                <w:sz w:val="21"/>
                <w:szCs w:val="21"/>
                <w:b w:val="1"/>
                <w:bCs w:val="1"/>
                <w:color w:val="auto"/>
              </w:rPr>
              <w:t>37604</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720" w:type="dxa"/>
            <w:vAlign w:val="bottom"/>
            <w:vMerge w:val="restart"/>
          </w:tcPr>
          <w:p>
            <w:pPr>
              <w:spacing w:after="0"/>
              <w:rPr>
                <w:sz w:val="20"/>
                <w:szCs w:val="20"/>
                <w:color w:val="auto"/>
              </w:rPr>
            </w:pPr>
            <w:r>
              <w:rPr>
                <w:rFonts w:ascii="Arial" w:cs="Arial" w:eastAsia="Arial" w:hAnsi="Arial"/>
                <w:sz w:val="21"/>
                <w:szCs w:val="21"/>
                <w:b w:val="1"/>
                <w:bCs w:val="1"/>
                <w:color w:val="auto"/>
              </w:rPr>
              <w:t>Johnson City, Tennessee</w:t>
            </w:r>
          </w:p>
        </w:tc>
        <w:tc>
          <w:tcPr>
            <w:tcW w:w="336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720" w:type="dxa"/>
            <w:vAlign w:val="bottom"/>
            <w:vMerge w:val="continue"/>
          </w:tcPr>
          <w:p>
            <w:pPr>
              <w:spacing w:after="0"/>
              <w:rPr>
                <w:sz w:val="8"/>
                <w:szCs w:val="8"/>
                <w:color w:val="auto"/>
              </w:rPr>
            </w:pPr>
          </w:p>
        </w:tc>
        <w:tc>
          <w:tcPr>
            <w:tcW w:w="3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720" w:type="dxa"/>
            <w:vAlign w:val="bottom"/>
          </w:tcPr>
          <w:p>
            <w:pPr>
              <w:ind w:left="40"/>
              <w:spacing w:after="0"/>
              <w:rPr>
                <w:sz w:val="20"/>
                <w:szCs w:val="20"/>
                <w:color w:val="auto"/>
              </w:rPr>
            </w:pPr>
            <w:r>
              <w:rPr>
                <w:rFonts w:ascii="Arial" w:cs="Arial" w:eastAsia="Arial" w:hAnsi="Arial"/>
                <w:sz w:val="17"/>
                <w:szCs w:val="17"/>
                <w:color w:val="auto"/>
              </w:rPr>
              <w:t>(Address of principal executive offices)</w:t>
            </w:r>
          </w:p>
        </w:tc>
        <w:tc>
          <w:tcPr>
            <w:tcW w:w="3360" w:type="dxa"/>
            <w:vAlign w:val="bottom"/>
          </w:tcPr>
          <w:p>
            <w:pPr>
              <w:ind w:left="940"/>
              <w:spacing w:after="0"/>
              <w:rPr>
                <w:sz w:val="20"/>
                <w:szCs w:val="20"/>
                <w:color w:val="auto"/>
              </w:rPr>
            </w:pPr>
            <w:r>
              <w:rPr>
                <w:rFonts w:ascii="Arial" w:cs="Arial" w:eastAsia="Arial" w:hAnsi="Arial"/>
                <w:sz w:val="17"/>
                <w:szCs w:val="17"/>
                <w:color w:val="auto"/>
              </w:rPr>
              <w:t>(Zip Code)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Registrant's telephone number, including area code: </w:t>
      </w:r>
      <w:r>
        <w:rPr>
          <w:rFonts w:ascii="Arial" w:cs="Arial" w:eastAsia="Arial" w:hAnsi="Arial"/>
          <w:sz w:val="21"/>
          <w:szCs w:val="21"/>
          <w:b w:val="1"/>
          <w:bCs w:val="1"/>
          <w:color w:val="auto"/>
        </w:rPr>
        <w:t>(423)743-9151</w:t>
      </w:r>
    </w:p>
    <w:p>
      <w:pPr>
        <w:spacing w:after="0" w:line="200" w:lineRule="exact"/>
        <w:rPr>
          <w:sz w:val="24"/>
          <w:szCs w:val="24"/>
          <w:color w:val="auto"/>
        </w:rPr>
      </w:pPr>
    </w:p>
    <w:p>
      <w:pPr>
        <w:spacing w:after="0" w:line="339" w:lineRule="exact"/>
        <w:rPr>
          <w:sz w:val="24"/>
          <w:szCs w:val="24"/>
          <w:color w:val="auto"/>
        </w:rPr>
      </w:pPr>
    </w:p>
    <w:p>
      <w:pPr>
        <w:spacing w:after="0" w:line="278"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oWritten communications pursuant to Rule 425 under the Securities Act (17 CFR 230.425)</w:t>
      </w:r>
    </w:p>
    <w:p>
      <w:pPr>
        <w:spacing w:after="0" w:line="275" w:lineRule="exact"/>
        <w:rPr>
          <w:sz w:val="24"/>
          <w:szCs w:val="24"/>
          <w:color w:val="auto"/>
        </w:rPr>
      </w:pPr>
    </w:p>
    <w:p>
      <w:pPr>
        <w:spacing w:after="0"/>
        <w:rPr>
          <w:sz w:val="20"/>
          <w:szCs w:val="20"/>
          <w:color w:val="auto"/>
        </w:rPr>
      </w:pPr>
      <w:r>
        <w:rPr>
          <w:rFonts w:ascii="Arial" w:cs="Arial" w:eastAsia="Arial" w:hAnsi="Arial"/>
          <w:sz w:val="21"/>
          <w:szCs w:val="21"/>
          <w:color w:val="auto"/>
        </w:rPr>
        <w:t>o Soliciting material pursuant to Rule 14a-12 under the Exchange Act (17 CFR 240.14a-12)</w:t>
      </w:r>
    </w:p>
    <w:p>
      <w:pPr>
        <w:spacing w:after="0" w:line="275" w:lineRule="exact"/>
        <w:rPr>
          <w:sz w:val="24"/>
          <w:szCs w:val="24"/>
          <w:color w:val="auto"/>
        </w:rPr>
      </w:pPr>
    </w:p>
    <w:p>
      <w:pPr>
        <w:spacing w:after="0"/>
        <w:rPr>
          <w:sz w:val="20"/>
          <w:szCs w:val="20"/>
          <w:color w:val="auto"/>
        </w:rPr>
      </w:pPr>
      <w:r>
        <w:rPr>
          <w:rFonts w:ascii="Arial" w:cs="Arial" w:eastAsia="Arial" w:hAnsi="Arial"/>
          <w:sz w:val="21"/>
          <w:szCs w:val="21"/>
          <w:color w:val="auto"/>
        </w:rPr>
        <w:t>oPre-commencement communications pursuant to Rule 14d-2(b) under the Exchange Act (17 CFR 240.14d-2(b))</w:t>
      </w:r>
    </w:p>
    <w:p>
      <w:pPr>
        <w:spacing w:after="0" w:line="275" w:lineRule="exact"/>
        <w:rPr>
          <w:sz w:val="24"/>
          <w:szCs w:val="24"/>
          <w:color w:val="auto"/>
        </w:rPr>
      </w:pPr>
    </w:p>
    <w:p>
      <w:pPr>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431800</wp:posOffset>
            </wp:positionV>
            <wp:extent cx="72574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759460</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281"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Furnished as Exhibit 99.1 is a copy of the earnings release of NN, Inc. reporting results for the quarter ended March 31, 2006, which was issued on May 3, 2006.</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81" w:lineRule="exact"/>
        <w:rPr>
          <w:sz w:val="20"/>
          <w:szCs w:val="20"/>
          <w:color w:val="auto"/>
        </w:rPr>
      </w:pPr>
    </w:p>
    <w:p>
      <w:pPr>
        <w:ind w:left="680"/>
        <w:spacing w:after="0"/>
        <w:rPr>
          <w:sz w:val="20"/>
          <w:szCs w:val="20"/>
          <w:color w:val="auto"/>
        </w:rPr>
      </w:pPr>
      <w:r>
        <w:rPr>
          <w:rFonts w:ascii="Arial" w:cs="Arial" w:eastAsia="Arial" w:hAnsi="Arial"/>
          <w:sz w:val="21"/>
          <w:szCs w:val="21"/>
          <w:color w:val="auto"/>
        </w:rPr>
        <w:t>(c) Exhibits.</w:t>
      </w:r>
    </w:p>
    <w:p>
      <w:pPr>
        <w:spacing w:after="0" w:line="275" w:lineRule="exact"/>
        <w:rPr>
          <w:sz w:val="20"/>
          <w:szCs w:val="20"/>
          <w:color w:val="auto"/>
        </w:rPr>
      </w:pPr>
    </w:p>
    <w:p>
      <w:pPr>
        <w:jc w:val="both"/>
        <w:ind w:firstLine="680"/>
        <w:spacing w:after="0" w:line="267"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0" w:type="dxa"/>
            <w:vAlign w:val="bottom"/>
            <w:gridSpan w:val="2"/>
          </w:tcPr>
          <w:p>
            <w:pPr>
              <w:spacing w:after="0"/>
              <w:rPr>
                <w:sz w:val="20"/>
                <w:szCs w:val="20"/>
                <w:color w:val="auto"/>
              </w:rPr>
            </w:pPr>
            <w:r>
              <w:rPr>
                <w:rFonts w:ascii="Arial" w:cs="Arial" w:eastAsia="Arial" w:hAnsi="Arial"/>
                <w:sz w:val="21"/>
                <w:szCs w:val="21"/>
                <w:color w:val="auto"/>
              </w:rPr>
              <w:t>Exhibit</w:t>
            </w:r>
          </w:p>
        </w:tc>
        <w:tc>
          <w:tcPr>
            <w:tcW w:w="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5"/>
        </w:trPr>
        <w:tc>
          <w:tcPr>
            <w:tcW w:w="680" w:type="dxa"/>
            <w:vAlign w:val="bottom"/>
          </w:tcPr>
          <w:p>
            <w:pPr>
              <w:spacing w:after="0" w:line="215" w:lineRule="exact"/>
              <w:rPr>
                <w:sz w:val="20"/>
                <w:szCs w:val="20"/>
                <w:color w:val="auto"/>
              </w:rPr>
            </w:pPr>
            <w:r>
              <w:rPr>
                <w:rFonts w:ascii="Arial" w:cs="Arial" w:eastAsia="Arial" w:hAnsi="Arial"/>
                <w:sz w:val="21"/>
                <w:szCs w:val="21"/>
                <w:color w:val="auto"/>
                <w:w w:val="88"/>
              </w:rPr>
              <w:t>Number</w:t>
            </w:r>
          </w:p>
        </w:tc>
        <w:tc>
          <w:tcPr>
            <w:tcW w:w="520" w:type="dxa"/>
            <w:vAlign w:val="bottom"/>
          </w:tcPr>
          <w:p>
            <w:pPr>
              <w:spacing w:after="0"/>
              <w:rPr>
                <w:sz w:val="18"/>
                <w:szCs w:val="18"/>
                <w:color w:val="auto"/>
              </w:rPr>
            </w:pPr>
          </w:p>
        </w:tc>
        <w:tc>
          <w:tcPr>
            <w:tcW w:w="4280" w:type="dxa"/>
            <w:vAlign w:val="bottom"/>
            <w:gridSpan w:val="3"/>
          </w:tcPr>
          <w:p>
            <w:pPr>
              <w:ind w:left="520"/>
              <w:spacing w:after="0" w:line="215" w:lineRule="exact"/>
              <w:rPr>
                <w:sz w:val="20"/>
                <w:szCs w:val="20"/>
                <w:color w:val="auto"/>
              </w:rPr>
            </w:pPr>
            <w:r>
              <w:rPr>
                <w:rFonts w:ascii="Arial" w:cs="Arial" w:eastAsia="Arial" w:hAnsi="Arial"/>
                <w:sz w:val="21"/>
                <w:szCs w:val="21"/>
                <w:color w:val="auto"/>
              </w:rPr>
              <w:t>Description of Exhibit</w:t>
            </w:r>
          </w:p>
        </w:tc>
      </w:tr>
      <w:tr>
        <w:trPr>
          <w:trHeight w:val="20"/>
        </w:trPr>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545"/>
        </w:trPr>
        <w:tc>
          <w:tcPr>
            <w:tcW w:w="680" w:type="dxa"/>
            <w:vAlign w:val="bottom"/>
          </w:tcPr>
          <w:p>
            <w:pPr>
              <w:spacing w:after="0"/>
              <w:rPr>
                <w:sz w:val="20"/>
                <w:szCs w:val="20"/>
                <w:color w:val="auto"/>
              </w:rPr>
            </w:pPr>
            <w:r>
              <w:rPr>
                <w:rFonts w:ascii="Arial" w:cs="Arial" w:eastAsia="Arial" w:hAnsi="Arial"/>
                <w:sz w:val="21"/>
                <w:szCs w:val="21"/>
                <w:color w:val="auto"/>
              </w:rPr>
              <w:t>99.1</w:t>
            </w:r>
          </w:p>
        </w:tc>
        <w:tc>
          <w:tcPr>
            <w:tcW w:w="520" w:type="dxa"/>
            <w:vAlign w:val="bottom"/>
          </w:tcPr>
          <w:p>
            <w:pPr>
              <w:spacing w:after="0"/>
              <w:rPr>
                <w:sz w:val="24"/>
                <w:szCs w:val="24"/>
                <w:color w:val="auto"/>
              </w:rPr>
            </w:pPr>
          </w:p>
        </w:tc>
        <w:tc>
          <w:tcPr>
            <w:tcW w:w="4280" w:type="dxa"/>
            <w:vAlign w:val="bottom"/>
            <w:gridSpan w:val="3"/>
          </w:tcPr>
          <w:p>
            <w:pPr>
              <w:ind w:left="500"/>
              <w:spacing w:after="0"/>
              <w:rPr>
                <w:sz w:val="20"/>
                <w:szCs w:val="20"/>
                <w:color w:val="auto"/>
              </w:rPr>
            </w:pPr>
            <w:r>
              <w:rPr>
                <w:rFonts w:ascii="Arial" w:cs="Arial" w:eastAsia="Arial" w:hAnsi="Arial"/>
                <w:sz w:val="21"/>
                <w:szCs w:val="21"/>
                <w:color w:val="auto"/>
                <w:w w:val="88"/>
              </w:rPr>
              <w:t>Press Release of NN, Inc. dated May 3,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SIGNATURES</w:t>
      </w:r>
    </w:p>
    <w:p>
      <w:pPr>
        <w:spacing w:after="0" w:line="281" w:lineRule="exact"/>
        <w:rPr>
          <w:sz w:val="20"/>
          <w:szCs w:val="20"/>
          <w:color w:val="auto"/>
        </w:rPr>
      </w:pPr>
    </w:p>
    <w:p>
      <w:pPr>
        <w:spacing w:after="0" w:line="278"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21"/>
          <w:szCs w:val="21"/>
          <w:b w:val="1"/>
          <w:bCs w:val="1"/>
          <w:color w:val="auto"/>
        </w:rPr>
        <w:t>NN,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540" w:val="left"/>
        </w:tabs>
        <w:rPr>
          <w:sz w:val="20"/>
          <w:szCs w:val="20"/>
          <w:color w:val="auto"/>
        </w:rPr>
      </w:pPr>
      <w:r>
        <w:rPr>
          <w:rFonts w:ascii="Arial" w:cs="Arial" w:eastAsia="Arial" w:hAnsi="Arial"/>
          <w:sz w:val="21"/>
          <w:szCs w:val="21"/>
          <w:b w:val="1"/>
          <w:bCs w:val="1"/>
          <w:color w:val="auto"/>
        </w:rPr>
        <w:t>Date: May 3, 2006</w:t>
      </w:r>
      <w:r>
        <w:rPr>
          <w:sz w:val="20"/>
          <w:szCs w:val="20"/>
          <w:color w:val="auto"/>
        </w:rPr>
        <w:tab/>
      </w:r>
      <w:r>
        <w:rPr>
          <w:rFonts w:ascii="Arial" w:cs="Arial" w:eastAsia="Arial" w:hAnsi="Arial"/>
          <w:sz w:val="19"/>
          <w:szCs w:val="19"/>
          <w:b w:val="1"/>
          <w:bCs w:val="1"/>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74930</wp:posOffset>
            </wp:positionV>
            <wp:extent cx="279082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0825" cy="20955"/>
                    </a:xfrm>
                    <a:prstGeom prst="rect">
                      <a:avLst/>
                    </a:prstGeom>
                    <a:noFill/>
                  </pic:spPr>
                </pic:pic>
              </a:graphicData>
            </a:graphic>
          </wp:anchor>
        </w:drawing>
      </w:r>
    </w:p>
    <w:p>
      <w:pPr>
        <w:spacing w:after="0" w:line="209" w:lineRule="exact"/>
        <w:rPr>
          <w:sz w:val="20"/>
          <w:szCs w:val="20"/>
          <w:color w:val="auto"/>
        </w:rPr>
      </w:pPr>
    </w:p>
    <w:p>
      <w:pPr>
        <w:ind w:left="5960"/>
        <w:spacing w:after="0"/>
        <w:rPr>
          <w:sz w:val="20"/>
          <w:szCs w:val="20"/>
          <w:color w:val="auto"/>
        </w:rPr>
      </w:pPr>
      <w:r>
        <w:rPr>
          <w:rFonts w:ascii="Arial" w:cs="Arial" w:eastAsia="Arial" w:hAnsi="Arial"/>
          <w:sz w:val="21"/>
          <w:szCs w:val="21"/>
          <w:color w:val="auto"/>
        </w:rPr>
        <w:t>Title: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21"/>
          <w:szCs w:val="21"/>
          <w:color w:val="auto"/>
        </w:rPr>
        <w:t>Chief Administrative Officer</w:t>
      </w:r>
    </w:p>
    <w:p>
      <w:pPr>
        <w:sectPr>
          <w:pgSz w:w="11900" w:h="16838" w:orient="portrait"/>
          <w:cols w:equalWidth="0" w:num="1">
            <w:col w:w="11420"/>
          </w:cols>
          <w:pgMar w:left="240" w:top="64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300" w:lineRule="auto"/>
        <w:rPr>
          <w:sz w:val="20"/>
          <w:szCs w:val="20"/>
          <w:color w:val="auto"/>
        </w:rPr>
      </w:pPr>
      <w:r>
        <w:rPr>
          <w:rFonts w:ascii="Arial" w:cs="Arial" w:eastAsia="Arial" w:hAnsi="Arial"/>
          <w:sz w:val="26"/>
          <w:szCs w:val="26"/>
          <w:color w:val="auto"/>
        </w:rPr>
        <w:t>FINANCIAL 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AT THE COMPANY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Will Kelly</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5"/>
          <w:szCs w:val="15"/>
          <w:color w:val="auto"/>
        </w:rPr>
        <w:t>Vice President and Chief Administrative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Officer</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(423) 743-9151</w:t>
      </w:r>
    </w:p>
    <w:p>
      <w:pPr>
        <w:spacing w:after="0" w:line="200" w:lineRule="exact"/>
        <w:rPr>
          <w:sz w:val="20"/>
          <w:szCs w:val="20"/>
          <w:color w:val="auto"/>
        </w:rPr>
      </w:pPr>
    </w:p>
    <w:p>
      <w:pPr>
        <w:spacing w:after="0" w:line="317"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b w:val="1"/>
          <w:bCs w:val="1"/>
          <w:color w:val="auto"/>
        </w:rPr>
        <w:t xml:space="preserve">FOR IMMEDIATE RELEASE </w:t>
      </w:r>
      <w:r>
        <w:rPr>
          <w:rFonts w:ascii="Arial" w:cs="Arial" w:eastAsia="Arial" w:hAnsi="Arial"/>
          <w:sz w:val="17"/>
          <w:szCs w:val="17"/>
          <w:color w:val="auto"/>
        </w:rPr>
        <w:t>May 3, 2006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4"/>
          <w:szCs w:val="24"/>
          <w:b w:val="1"/>
          <w:bCs w:val="1"/>
          <w:color w:val="auto"/>
        </w:rPr>
        <w:t>EXHIBIT 99.1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41"/>
          <w:szCs w:val="41"/>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8"/>
          <w:szCs w:val="28"/>
          <w:color w:val="auto"/>
        </w:rPr>
        <w:t>RE: NN, Inc.</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2000 Waters Edge Drive</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52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Arial" w:cs="Arial" w:eastAsia="Arial" w:hAnsi="Arial"/>
                <w:sz w:val="17"/>
                <w:szCs w:val="17"/>
                <w:b w:val="1"/>
                <w:bCs w:val="1"/>
                <w:color w:val="auto"/>
              </w:rPr>
              <w:t>AT FINANCIAL RELATIONS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00" w:type="dxa"/>
            <w:vAlign w:val="bottom"/>
            <w:gridSpan w:val="4"/>
          </w:tcPr>
          <w:p>
            <w:pPr>
              <w:spacing w:after="0" w:line="186" w:lineRule="exact"/>
              <w:rPr>
                <w:sz w:val="20"/>
                <w:szCs w:val="20"/>
                <w:color w:val="auto"/>
              </w:rPr>
            </w:pPr>
            <w:r>
              <w:rPr>
                <w:rFonts w:ascii="Arial" w:cs="Arial" w:eastAsia="Arial" w:hAnsi="Arial"/>
                <w:sz w:val="17"/>
                <w:szCs w:val="17"/>
                <w:b w:val="1"/>
                <w:bCs w:val="1"/>
                <w:color w:val="auto"/>
              </w:rPr>
              <w:t>BOARD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360" w:type="dxa"/>
            <w:vAlign w:val="bottom"/>
            <w:vMerge w:val="restart"/>
          </w:tcPr>
          <w:p>
            <w:pPr>
              <w:ind w:left="340"/>
              <w:spacing w:after="0"/>
              <w:rPr>
                <w:sz w:val="20"/>
                <w:szCs w:val="20"/>
                <w:color w:val="auto"/>
              </w:rPr>
            </w:pPr>
            <w:r>
              <w:rPr>
                <w:rFonts w:ascii="Arial" w:cs="Arial" w:eastAsia="Arial" w:hAnsi="Arial"/>
                <w:sz w:val="17"/>
                <w:szCs w:val="17"/>
                <w:color w:val="auto"/>
                <w:w w:val="88"/>
              </w:rPr>
              <w:t>Susan Garland</w:t>
            </w:r>
          </w:p>
        </w:tc>
        <w:tc>
          <w:tcPr>
            <w:tcW w:w="0" w:type="dxa"/>
            <w:vAlign w:val="bottom"/>
          </w:tcPr>
          <w:p>
            <w:pPr>
              <w:spacing w:after="0" w:line="20" w:lineRule="exact"/>
              <w:rPr>
                <w:sz w:val="1"/>
                <w:szCs w:val="1"/>
                <w:color w:val="auto"/>
              </w:rPr>
            </w:pPr>
          </w:p>
        </w:tc>
      </w:tr>
      <w:tr>
        <w:trPr>
          <w:trHeight w:val="249"/>
        </w:trPr>
        <w:tc>
          <w:tcPr>
            <w:tcW w:w="6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7"/>
                <w:szCs w:val="17"/>
                <w:color w:val="auto"/>
              </w:rPr>
              <w:t>Marilynn Meek</w:t>
            </w: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7"/>
                <w:szCs w:val="17"/>
                <w:color w:val="auto"/>
              </w:rPr>
              <w:t>(General info)</w:t>
            </w:r>
          </w:p>
        </w:tc>
        <w:tc>
          <w:tcPr>
            <w:tcW w:w="1360" w:type="dxa"/>
            <w:vAlign w:val="bottom"/>
          </w:tcPr>
          <w:p>
            <w:pPr>
              <w:ind w:left="340"/>
              <w:spacing w:after="0"/>
              <w:rPr>
                <w:sz w:val="20"/>
                <w:szCs w:val="20"/>
                <w:color w:val="auto"/>
              </w:rPr>
            </w:pPr>
            <w:r>
              <w:rPr>
                <w:rFonts w:ascii="Arial" w:cs="Arial" w:eastAsia="Arial" w:hAnsi="Arial"/>
                <w:sz w:val="17"/>
                <w:szCs w:val="17"/>
                <w:color w:val="auto"/>
              </w:rPr>
              <w:t>(Analyst info)</w:t>
            </w:r>
          </w:p>
        </w:tc>
        <w:tc>
          <w:tcPr>
            <w:tcW w:w="0" w:type="dxa"/>
            <w:vAlign w:val="bottom"/>
          </w:tcPr>
          <w:p>
            <w:pPr>
              <w:spacing w:after="0"/>
              <w:rPr>
                <w:sz w:val="1"/>
                <w:szCs w:val="1"/>
                <w:color w:val="auto"/>
              </w:rPr>
            </w:pPr>
          </w:p>
        </w:tc>
      </w:tr>
      <w:tr>
        <w:trPr>
          <w:trHeight w:val="348"/>
        </w:trPr>
        <w:tc>
          <w:tcPr>
            <w:tcW w:w="2280" w:type="dxa"/>
            <w:vAlign w:val="bottom"/>
            <w:gridSpan w:val="3"/>
          </w:tcPr>
          <w:p>
            <w:pPr>
              <w:ind w:left="60"/>
              <w:spacing w:after="0"/>
              <w:rPr>
                <w:sz w:val="20"/>
                <w:szCs w:val="20"/>
                <w:color w:val="auto"/>
              </w:rPr>
            </w:pPr>
            <w:r>
              <w:rPr>
                <w:rFonts w:ascii="Arial" w:cs="Arial" w:eastAsia="Arial" w:hAnsi="Arial"/>
                <w:sz w:val="17"/>
                <w:szCs w:val="17"/>
                <w:color w:val="auto"/>
              </w:rPr>
              <w:t>212-827-3773</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212-827-3775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NN, INC. REPORTS FIRST QUARTER 2006 RESULTS</w:t>
      </w:r>
    </w:p>
    <w:p>
      <w:pPr>
        <w:spacing w:after="0" w:line="269" w:lineRule="exact"/>
        <w:rPr>
          <w:sz w:val="20"/>
          <w:szCs w:val="20"/>
          <w:color w:val="auto"/>
        </w:rPr>
      </w:pPr>
    </w:p>
    <w:p>
      <w:pPr>
        <w:jc w:val="center"/>
        <w:ind w:right="3200"/>
        <w:spacing w:after="0"/>
        <w:rPr>
          <w:sz w:val="20"/>
          <w:szCs w:val="20"/>
          <w:color w:val="auto"/>
        </w:rPr>
      </w:pPr>
      <w:r>
        <w:rPr>
          <w:rFonts w:ascii="Arial" w:cs="Arial" w:eastAsia="Arial" w:hAnsi="Arial"/>
          <w:sz w:val="15"/>
          <w:szCs w:val="15"/>
          <w:b w:val="1"/>
          <w:bCs w:val="1"/>
          <w:color w:val="auto"/>
        </w:rPr>
        <w:t>Earnings Per Diluted Share Up 30%, Includes Net Gain On Disposal</w:t>
      </w:r>
    </w:p>
    <w:p>
      <w:pPr>
        <w:spacing w:after="0" w:line="51" w:lineRule="exact"/>
        <w:rPr>
          <w:sz w:val="20"/>
          <w:szCs w:val="20"/>
          <w:color w:val="auto"/>
        </w:rPr>
      </w:pPr>
    </w:p>
    <w:p>
      <w:pPr>
        <w:jc w:val="center"/>
        <w:ind w:right="3200"/>
        <w:spacing w:after="0"/>
        <w:rPr>
          <w:sz w:val="20"/>
          <w:szCs w:val="20"/>
          <w:color w:val="auto"/>
        </w:rPr>
      </w:pPr>
      <w:r>
        <w:rPr>
          <w:rFonts w:ascii="Arial" w:cs="Arial" w:eastAsia="Arial" w:hAnsi="Arial"/>
          <w:sz w:val="17"/>
          <w:szCs w:val="17"/>
          <w:b w:val="1"/>
          <w:bCs w:val="1"/>
          <w:color w:val="auto"/>
        </w:rPr>
        <w:t>Of Assets of $0.04 Per Diluted Share</w:t>
      </w:r>
    </w:p>
    <w:p>
      <w:pPr>
        <w:spacing w:after="0" w:line="200" w:lineRule="exact"/>
        <w:rPr>
          <w:sz w:val="20"/>
          <w:szCs w:val="20"/>
          <w:color w:val="auto"/>
        </w:rPr>
      </w:pPr>
    </w:p>
    <w:p>
      <w:pPr>
        <w:sectPr>
          <w:pgSz w:w="11900" w:h="16838" w:orient="portrait"/>
          <w:cols w:equalWidth="0" w:num="2">
            <w:col w:w="2780" w:space="420"/>
            <w:col w:w="8220"/>
          </w:cols>
          <w:pgMar w:left="240" w:top="400" w:right="239" w:bottom="1440" w:gutter="0" w:footer="0" w:header="0"/>
        </w:sectPr>
      </w:pPr>
    </w:p>
    <w:p>
      <w:pPr>
        <w:spacing w:after="0" w:line="52"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b w:val="1"/>
          <w:bCs w:val="1"/>
          <w:color w:val="auto"/>
        </w:rPr>
        <w:t xml:space="preserve">Johnson City, Tenn, May 3, 2006 </w:t>
      </w:r>
      <w:r>
        <w:rPr>
          <w:rFonts w:ascii="Arial" w:cs="Arial" w:eastAsia="Arial" w:hAnsi="Arial"/>
          <w:sz w:val="15"/>
          <w:szCs w:val="15"/>
          <w:color w:val="auto"/>
        </w:rPr>
        <w:t>- NN, Inc. (Nasdaq: NNBR) today reported its financial results for the first quarter ended March 31, 2006. Net sales for the first</w:t>
      </w:r>
      <w:r>
        <w:rPr>
          <w:rFonts w:ascii="Arial" w:cs="Arial" w:eastAsia="Arial" w:hAnsi="Arial"/>
          <w:sz w:val="15"/>
          <w:szCs w:val="15"/>
          <w:b w:val="1"/>
          <w:bCs w:val="1"/>
          <w:color w:val="auto"/>
        </w:rPr>
        <w:t xml:space="preserve"> </w:t>
      </w:r>
      <w:r>
        <w:rPr>
          <w:rFonts w:ascii="Arial" w:cs="Arial" w:eastAsia="Arial" w:hAnsi="Arial"/>
          <w:sz w:val="15"/>
          <w:szCs w:val="15"/>
          <w:color w:val="auto"/>
        </w:rPr>
        <w:t>quarter of 2006 were $86.0 million, a decrease of 1.0% from $86.7 million for the same period of 2005. Net income for the first quarter of 2006 totaled $5.3 million or $0.30 per diluted share and includes an after-tax gain from the sale of excess land of $1.5 million or $0.08 per diluted share and an after-tax write-off of certain unused equipment of $667,000 or $0.04 per diluted share. This compares to net income of $4.0 million, or $0.23 per diluted share for the first quarter of 2005.</w:t>
      </w:r>
    </w:p>
    <w:p>
      <w:pPr>
        <w:spacing w:after="0" w:line="19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James H. Dorton, Vice President and Chief Financial Officer commented, “Revenues of $86.0 million in the first quarter of 2006 were down slightly from $86.7 million recorded in the first quarter of the prior year. Increases in volume and mix of approximately $1.6 million as well as selling price increases related to material cost pass through of approximately $2.8 million were offset by the negative result of currency translation of $5.1 million.</w:t>
      </w:r>
    </w:p>
    <w:p>
      <w:pPr>
        <w:spacing w:after="0" w:line="228"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As a percentage of net sales, 2006 first quarter cost of goods sold was 76.7% of net sales as compared to the 2005 first quarter cost of goods sold of 78.0%. Our</w:t>
      </w:r>
      <w:r>
        <w:rPr>
          <w:rFonts w:ascii="Arial" w:cs="Arial" w:eastAsia="Arial" w:hAnsi="Arial"/>
          <w:sz w:val="15"/>
          <w:szCs w:val="15"/>
          <w:i w:val="1"/>
          <w:iCs w:val="1"/>
          <w:color w:val="auto"/>
        </w:rPr>
        <w:t xml:space="preserve"> </w:t>
      </w:r>
      <w:r>
        <w:rPr>
          <w:rFonts w:ascii="Arial" w:cs="Arial" w:eastAsia="Arial" w:hAnsi="Arial"/>
          <w:sz w:val="15"/>
          <w:szCs w:val="15"/>
          <w:color w:val="auto"/>
        </w:rPr>
        <w:t>Level 3 initiatives made a major contribution to this margin improvement. As a percentage of net sales, selling, general and administrative expenses for the first quarter of 2006 was 8.9% as compared to 8.6% for the same period in 2005. This increase was mainly due to stock compensation related expenses.”</w:t>
      </w:r>
    </w:p>
    <w:p>
      <w:pPr>
        <w:spacing w:after="0" w:line="19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Mr. Dorton continued, “Our reported net income of $5.3 million or $0.30 per diluted share includes a net gain of approximately $784,000 or $0.04 per diluted share comprised of an after-tax gain from the sale of excess land located at our Pinerolo, Italy facility of $1.5 million or $0.08 per diluted share and offsetting this gain, the write-off of certain unused and obsolete equipment of $667,000 or $0.04 per diluted share, after-tax.</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5" w:name="page6"/>
    <w:bookmarkEnd w:id="5"/>
    <w:p>
      <w:pPr>
        <w:ind w:right="60"/>
        <w:spacing w:after="0" w:line="266" w:lineRule="auto"/>
        <w:rPr>
          <w:sz w:val="20"/>
          <w:szCs w:val="20"/>
          <w:color w:val="auto"/>
        </w:rPr>
      </w:pPr>
      <w:r>
        <w:rPr>
          <w:rFonts w:ascii="Arial" w:cs="Arial" w:eastAsia="Arial" w:hAnsi="Arial"/>
          <w:sz w:val="17"/>
          <w:szCs w:val="17"/>
          <w:color w:val="auto"/>
        </w:rPr>
        <w:t>“Due to the proceeds realized from the sale of this land, we were able to pay down debt during the quarter by $3.2 million. We anticipate reducing debt by approximately $10 million for the full year. This assumes fully funding the previously announced stock repurchase plan up to $10 million and excludes the impact of any potential new acquisitions that may occur during 2006.”</w:t>
      </w:r>
    </w:p>
    <w:p>
      <w:pPr>
        <w:spacing w:after="0" w:line="228" w:lineRule="exact"/>
        <w:rPr>
          <w:sz w:val="20"/>
          <w:szCs w:val="20"/>
          <w:color w:val="auto"/>
        </w:rPr>
      </w:pPr>
    </w:p>
    <w:p>
      <w:pPr>
        <w:ind w:right="560"/>
        <w:spacing w:after="0" w:line="349" w:lineRule="auto"/>
        <w:rPr>
          <w:sz w:val="20"/>
          <w:szCs w:val="20"/>
          <w:color w:val="auto"/>
        </w:rPr>
      </w:pPr>
      <w:r>
        <w:rPr>
          <w:rFonts w:ascii="Arial" w:cs="Arial" w:eastAsia="Arial" w:hAnsi="Arial"/>
          <w:sz w:val="15"/>
          <w:szCs w:val="15"/>
          <w:color w:val="auto"/>
        </w:rPr>
        <w:t>Mr. Dorton concluded, “During the quarter we purchased 20,474 shares under our recently announced stock repurchase program. This program allows for the purchase of up to $10.0 million of the Company’s outstanding stock which commenced in mid March of 2006 and will continue for 18 months thereafter.”</w:t>
      </w:r>
    </w:p>
    <w:p>
      <w:pPr>
        <w:spacing w:after="0" w:line="16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Roderick R. Baty, Chairman and Chief Executive Officer commented, “We are very pleased with the financial results for the first quarter of 2006. Each of our business units contributed positively to the excellent operating results. Our Level 3 program continues to play a major role in achieving significant improvements in cost reductions and operating efficiencies. The cost savings realized by this program have allowed us to offset substantially higher energy costs in our global operations as well as start-up expenses associated with our new facility in China.”</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Mr. Baty concluded, “We look forward to both the challenges and the opportunities for the remainder of 2006. As I previously stated in our 2005 fourth quarter earnings release, we are forecasting relatively flat economic conditions in the U.S. and Europe for 2006, therefore our guidance for the total year remains unchanged with estimated total year revenues at approximately $325 million and full year earnings to be in the range of $0.86 to $0.92 per diluted share.”</w:t>
      </w:r>
    </w:p>
    <w:p>
      <w:pPr>
        <w:spacing w:after="0" w:line="20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$321 million in 2005.</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2005.</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Financial Tables Follow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ind w:left="332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ind w:left="3320"/>
        <w:spacing w:after="0"/>
        <w:rPr>
          <w:sz w:val="20"/>
          <w:szCs w:val="20"/>
          <w:color w:val="auto"/>
        </w:rPr>
      </w:pPr>
      <w:r>
        <w:rPr>
          <w:rFonts w:ascii="Arial" w:cs="Arial" w:eastAsia="Arial" w:hAnsi="Arial"/>
          <w:sz w:val="17"/>
          <w:szCs w:val="17"/>
          <w:b w:val="1"/>
          <w:bCs w:val="1"/>
          <w:color w:val="auto"/>
        </w:rPr>
        <w:t>Consolidated Statements of Income</w:t>
      </w:r>
    </w:p>
    <w:p>
      <w:pPr>
        <w:spacing w:after="0" w:line="11" w:lineRule="exact"/>
        <w:rPr>
          <w:sz w:val="20"/>
          <w:szCs w:val="20"/>
          <w:color w:val="auto"/>
        </w:rPr>
      </w:pPr>
    </w:p>
    <w:p>
      <w:pPr>
        <w:jc w:val="center"/>
        <w:ind w:left="3320"/>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34" w:lineRule="exact"/>
        <w:rPr>
          <w:sz w:val="20"/>
          <w:szCs w:val="20"/>
          <w:color w:val="auto"/>
        </w:rPr>
      </w:pPr>
    </w:p>
    <w:p>
      <w:pPr>
        <w:jc w:val="center"/>
        <w:ind w:left="3320"/>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Months Ended</w:t>
      </w:r>
    </w:p>
    <w:p>
      <w:pPr>
        <w:spacing w:after="0" w:line="218"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b w:val="1"/>
          <w:bCs w:val="1"/>
          <w:color w:val="auto"/>
        </w:rPr>
        <w:t>#160;</w:t>
      </w:r>
      <w:r>
        <w:rPr>
          <w:sz w:val="20"/>
          <w:szCs w:val="20"/>
          <w:color w:val="auto"/>
        </w:rPr>
        <w:tab/>
      </w: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252970" cy="295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29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Net sales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Cost of goods sold (exclusive of depreciation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shown separately below)</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2970" cy="147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(Gain) 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2970" cy="147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47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2970" cy="147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Income before 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74"/>
              <w:spacing w:after="0"/>
              <w:rPr>
                <w:sz w:val="20"/>
                <w:szCs w:val="20"/>
                <w:color w:val="auto"/>
              </w:rPr>
            </w:pPr>
            <w:r>
              <w:rPr>
                <w:rFonts w:ascii="Arial" w:cs="Arial" w:eastAsia="Arial" w:hAnsi="Arial"/>
                <w:sz w:val="17"/>
                <w:szCs w:val="17"/>
                <w:color w:val="auto"/>
              </w:rPr>
              <w:t>&amp; #160;</w:t>
            </w:r>
          </w:p>
        </w:tc>
      </w:tr>
      <w:tr>
        <w:trPr>
          <w:trHeight w:val="413"/>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034"/>
              <w:spacing w:after="0"/>
              <w:rPr>
                <w:sz w:val="20"/>
                <w:szCs w:val="20"/>
                <w:color w:val="auto"/>
              </w:rPr>
            </w:pPr>
            <w:r>
              <w:rPr>
                <w:rFonts w:ascii="Arial" w:cs="Arial" w:eastAsia="Arial" w:hAnsi="Arial"/>
                <w:sz w:val="17"/>
                <w:szCs w:val="17"/>
                <w:b w:val="1"/>
                <w:bCs w:val="1"/>
                <w:color w:val="auto"/>
              </w:rPr>
              <w:t>&amp;</w:t>
            </w:r>
          </w:p>
        </w:tc>
      </w:tr>
      <w:tr>
        <w:trPr>
          <w:trHeight w:val="420"/>
        </w:trPr>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2006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2005</w:t>
            </w:r>
          </w:p>
        </w:tc>
      </w:tr>
      <w:tr>
        <w:trPr>
          <w:trHeight w:val="695"/>
        </w:trPr>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$ 86,017</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$ 86,715</w:t>
            </w:r>
          </w:p>
        </w:tc>
      </w:tr>
      <w:tr>
        <w:trPr>
          <w:trHeight w:val="465"/>
        </w:trPr>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65,999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67,666</w:t>
            </w:r>
          </w:p>
        </w:tc>
      </w:tr>
      <w:tr>
        <w:trPr>
          <w:trHeight w:val="232"/>
        </w:trPr>
        <w:tc>
          <w:tcPr>
            <w:tcW w:w="1020" w:type="dxa"/>
            <w:vAlign w:val="bottom"/>
          </w:tcPr>
          <w:p>
            <w:pPr>
              <w:jc w:val="right"/>
              <w:spacing w:after="0"/>
              <w:rPr>
                <w:sz w:val="20"/>
                <w:szCs w:val="20"/>
                <w:color w:val="auto"/>
              </w:rPr>
            </w:pPr>
            <w:r>
              <w:rPr>
                <w:rFonts w:ascii="Arial" w:cs="Arial" w:eastAsia="Arial" w:hAnsi="Arial"/>
                <w:sz w:val="17"/>
                <w:szCs w:val="17"/>
                <w:color w:val="auto"/>
              </w:rPr>
              <w:t>7,681</w:t>
            </w: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7,484</w:t>
            </w:r>
          </w:p>
        </w:tc>
      </w:tr>
      <w:tr>
        <w:trPr>
          <w:trHeight w:val="232"/>
        </w:trPr>
        <w:tc>
          <w:tcPr>
            <w:tcW w:w="1020" w:type="dxa"/>
            <w:vAlign w:val="bottom"/>
          </w:tcPr>
          <w:p>
            <w:pPr>
              <w:jc w:val="right"/>
              <w:spacing w:after="0"/>
              <w:rPr>
                <w:sz w:val="20"/>
                <w:szCs w:val="20"/>
                <w:color w:val="auto"/>
              </w:rPr>
            </w:pPr>
            <w:r>
              <w:rPr>
                <w:rFonts w:ascii="Arial" w:cs="Arial" w:eastAsia="Arial" w:hAnsi="Arial"/>
                <w:sz w:val="17"/>
                <w:szCs w:val="17"/>
                <w:color w:val="auto"/>
              </w:rPr>
              <w:t>4,162</w:t>
            </w: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4,174</w:t>
            </w:r>
          </w:p>
        </w:tc>
      </w:tr>
      <w:tr>
        <w:trPr>
          <w:trHeight w:val="220"/>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457"/>
        </w:trPr>
        <w:tc>
          <w:tcPr>
            <w:tcW w:w="1020" w:type="dxa"/>
            <w:vAlign w:val="bottom"/>
          </w:tcPr>
          <w:p>
            <w:pPr>
              <w:jc w:val="right"/>
              <w:spacing w:after="0"/>
              <w:rPr>
                <w:sz w:val="20"/>
                <w:szCs w:val="20"/>
                <w:color w:val="auto"/>
              </w:rPr>
            </w:pPr>
            <w:r>
              <w:rPr>
                <w:rFonts w:ascii="Arial" w:cs="Arial" w:eastAsia="Arial" w:hAnsi="Arial"/>
                <w:sz w:val="17"/>
                <w:szCs w:val="17"/>
                <w:color w:val="auto"/>
              </w:rPr>
              <w:t>8,905</w:t>
            </w:r>
          </w:p>
        </w:tc>
        <w:tc>
          <w:tcPr>
            <w:tcW w:w="1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7,387</w:t>
            </w:r>
          </w:p>
        </w:tc>
      </w:tr>
      <w:tr>
        <w:trPr>
          <w:trHeight w:val="465"/>
        </w:trPr>
        <w:tc>
          <w:tcPr>
            <w:tcW w:w="1020" w:type="dxa"/>
            <w:vAlign w:val="bottom"/>
          </w:tcPr>
          <w:p>
            <w:pPr>
              <w:jc w:val="right"/>
              <w:spacing w:after="0"/>
              <w:rPr>
                <w:sz w:val="20"/>
                <w:szCs w:val="20"/>
                <w:color w:val="auto"/>
              </w:rPr>
            </w:pPr>
            <w:r>
              <w:rPr>
                <w:rFonts w:ascii="Arial" w:cs="Arial" w:eastAsia="Arial" w:hAnsi="Arial"/>
                <w:sz w:val="17"/>
                <w:szCs w:val="17"/>
                <w:color w:val="auto"/>
              </w:rPr>
              <w:t>986</w:t>
            </w:r>
          </w:p>
        </w:tc>
        <w:tc>
          <w:tcPr>
            <w:tcW w:w="1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984</w:t>
            </w:r>
          </w:p>
        </w:tc>
      </w:tr>
    </w:tbl>
    <w:p>
      <w:pPr>
        <w:spacing w:after="0" w:line="2" w:lineRule="exact"/>
        <w:rPr>
          <w:sz w:val="20"/>
          <w:szCs w:val="20"/>
          <w:color w:val="auto"/>
        </w:rPr>
      </w:pPr>
    </w:p>
    <w:p>
      <w:pPr>
        <w:ind w:left="2240" w:hanging="1595"/>
        <w:spacing w:after="0"/>
        <w:tabs>
          <w:tab w:leader="none" w:pos="2240" w:val="left"/>
        </w:tabs>
        <w:numPr>
          <w:ilvl w:val="0"/>
          <w:numId w:val="1"/>
        </w:numPr>
        <w:rPr>
          <w:rFonts w:ascii="Arial" w:cs="Arial" w:eastAsia="Arial" w:hAnsi="Arial"/>
          <w:sz w:val="15"/>
          <w:szCs w:val="15"/>
          <w:color w:val="auto"/>
        </w:rPr>
      </w:pPr>
      <w:r>
        <w:rPr>
          <w:rFonts w:ascii="Arial" w:cs="Arial" w:eastAsia="Arial" w:hAnsi="Arial"/>
          <w:sz w:val="15"/>
          <w:szCs w:val="15"/>
          <w:color w:val="auto"/>
        </w:rPr>
        <w:t>(171)</w:t>
      </w:r>
    </w:p>
    <w:p>
      <w:pPr>
        <w:spacing w:after="0" w:line="305"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8,128</w:t>
      </w:r>
      <w:r>
        <w:rPr>
          <w:rFonts w:ascii="Arial" w:cs="Arial" w:eastAsia="Arial" w:hAnsi="Arial"/>
          <w:sz w:val="15"/>
          <w:szCs w:val="15"/>
          <w:color w:val="auto"/>
        </w:rPr>
        <w:t>6,574</w:t>
      </w:r>
    </w:p>
    <w:p>
      <w:pPr>
        <w:spacing w:after="0" w:line="41" w:lineRule="exact"/>
        <w:rPr>
          <w:sz w:val="20"/>
          <w:szCs w:val="20"/>
          <w:color w:val="auto"/>
        </w:rPr>
      </w:pPr>
    </w:p>
    <w:p>
      <w:pPr>
        <w:sectPr>
          <w:pgSz w:w="11900" w:h="16838" w:orient="portrait"/>
          <w:cols w:equalWidth="0" w:num="2">
            <w:col w:w="8100" w:space="720"/>
            <w:col w:w="2600"/>
          </w:cols>
          <w:pgMar w:left="240" w:top="611"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47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2,866</w:t>
            </w:r>
          </w:p>
        </w:tc>
        <w:tc>
          <w:tcPr>
            <w:tcW w:w="4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2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$ 5,262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Diluted income per common share</w:t>
            </w:r>
          </w:p>
        </w:tc>
        <w:tc>
          <w:tcPr>
            <w:tcW w:w="62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$ 0.30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$ 0.23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diluted shares</w:t>
            </w:r>
          </w:p>
        </w:tc>
        <w:tc>
          <w:tcPr>
            <w:tcW w:w="62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17,376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4780" w:type="dxa"/>
            <w:vAlign w:val="bottom"/>
            <w:tcBorders>
              <w:top w:val="single" w:sz="8" w:color="CCEEFF"/>
            </w:tcBorders>
          </w:tcPr>
          <w:p>
            <w:pPr>
              <w:jc w:val="right"/>
              <w:ind w:right="2998"/>
              <w:spacing w:after="0"/>
              <w:rPr>
                <w:sz w:val="20"/>
                <w:szCs w:val="20"/>
                <w:color w:val="auto"/>
              </w:rPr>
            </w:pPr>
            <w:r>
              <w:rPr>
                <w:rFonts w:ascii="Arial" w:cs="Arial" w:eastAsia="Arial" w:hAnsi="Arial"/>
                <w:sz w:val="14"/>
                <w:szCs w:val="14"/>
                <w:color w:val="auto"/>
              </w:rPr>
              <w:t>3</w:t>
            </w: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580" w:type="dxa"/>
            <w:vAlign w:val="bottom"/>
            <w:gridSpan w:val="2"/>
          </w:tcPr>
          <w:p>
            <w:pPr>
              <w:ind w:left="600"/>
              <w:spacing w:after="0"/>
              <w:rPr>
                <w:sz w:val="20"/>
                <w:szCs w:val="20"/>
                <w:color w:val="auto"/>
              </w:rPr>
            </w:pPr>
            <w:r>
              <w:rPr>
                <w:rFonts w:ascii="Arial" w:cs="Arial" w:eastAsia="Arial" w:hAnsi="Arial"/>
                <w:sz w:val="17"/>
                <w:szCs w:val="17"/>
                <w:b w:val="1"/>
                <w:bCs w:val="1"/>
                <w:color w:val="auto"/>
              </w:rPr>
              <w:t>March 31,</w:t>
            </w:r>
          </w:p>
        </w:tc>
        <w:tc>
          <w:tcPr>
            <w:tcW w:w="2000" w:type="dxa"/>
            <w:vAlign w:val="bottom"/>
            <w:gridSpan w:val="2"/>
          </w:tcPr>
          <w:p>
            <w:pPr>
              <w:ind w:left="4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43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4460" w:type="dxa"/>
            <w:vAlign w:val="bottom"/>
            <w:gridSpan w:val="2"/>
          </w:tcPr>
          <w:p>
            <w:pPr>
              <w:jc w:val="right"/>
              <w:ind w:right="734"/>
              <w:spacing w:after="0"/>
              <w:rPr>
                <w:sz w:val="20"/>
                <w:szCs w:val="20"/>
                <w:color w:val="auto"/>
              </w:rPr>
            </w:pPr>
            <w:r>
              <w:rPr>
                <w:rFonts w:ascii="Arial" w:cs="Arial" w:eastAsia="Arial" w:hAnsi="Arial"/>
                <w:sz w:val="17"/>
                <w:szCs w:val="17"/>
                <w:b w:val="1"/>
                <w:bCs w:val="1"/>
                <w:color w:val="auto"/>
              </w:rPr>
              <w:t>2006</w:t>
            </w:r>
          </w:p>
        </w:tc>
        <w:tc>
          <w:tcPr>
            <w:tcW w:w="600" w:type="dxa"/>
            <w:vAlign w:val="bottom"/>
          </w:tcPr>
          <w:p>
            <w:pPr>
              <w:spacing w:after="0"/>
              <w:rPr>
                <w:sz w:val="19"/>
                <w:szCs w:val="19"/>
                <w:color w:val="auto"/>
              </w:rPr>
            </w:pPr>
          </w:p>
        </w:tc>
        <w:tc>
          <w:tcPr>
            <w:tcW w:w="1980" w:type="dxa"/>
            <w:vAlign w:val="bottom"/>
          </w:tcPr>
          <w:p>
            <w:pPr>
              <w:jc w:val="right"/>
              <w:ind w:right="734"/>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380" w:type="dxa"/>
            <w:vAlign w:val="bottom"/>
            <w:gridSpan w:val="2"/>
            <w:vMerge w:val="continue"/>
          </w:tcPr>
          <w:p>
            <w:pPr>
              <w:spacing w:after="0"/>
              <w:rPr>
                <w:sz w:val="17"/>
                <w:szCs w:val="17"/>
                <w:color w:val="auto"/>
              </w:rPr>
            </w:pPr>
          </w:p>
        </w:tc>
        <w:tc>
          <w:tcPr>
            <w:tcW w:w="248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8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$ 7,537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$ 10,856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5060" w:type="dxa"/>
            <w:vAlign w:val="bottom"/>
            <w:gridSpan w:val="3"/>
          </w:tcPr>
          <w:p>
            <w:pPr>
              <w:jc w:val="right"/>
              <w:ind w:right="600"/>
              <w:spacing w:after="0"/>
              <w:rPr>
                <w:sz w:val="20"/>
                <w:szCs w:val="20"/>
                <w:color w:val="auto"/>
              </w:rPr>
            </w:pPr>
            <w:r>
              <w:rPr>
                <w:rFonts w:ascii="Arial" w:cs="Arial" w:eastAsia="Arial" w:hAnsi="Arial"/>
                <w:sz w:val="17"/>
                <w:szCs w:val="17"/>
                <w:color w:val="auto"/>
              </w:rPr>
              <w:t>59,881</w:t>
            </w:r>
          </w:p>
        </w:tc>
        <w:tc>
          <w:tcPr>
            <w:tcW w:w="1980" w:type="dxa"/>
            <w:vAlign w:val="bottom"/>
          </w:tcPr>
          <w:p>
            <w:pPr>
              <w:jc w:val="right"/>
              <w:spacing w:after="0"/>
              <w:rPr>
                <w:sz w:val="20"/>
                <w:szCs w:val="20"/>
                <w:color w:val="auto"/>
              </w:rPr>
            </w:pPr>
            <w:r>
              <w:rPr>
                <w:rFonts w:ascii="Arial" w:cs="Arial" w:eastAsia="Arial" w:hAnsi="Arial"/>
                <w:sz w:val="17"/>
                <w:szCs w:val="17"/>
                <w:color w:val="auto"/>
              </w:rPr>
              <w:t>47,297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36,770</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Other current assets</w:t>
            </w:r>
          </w:p>
        </w:tc>
        <w:tc>
          <w:tcPr>
            <w:tcW w:w="248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10,596</w:t>
            </w:r>
          </w:p>
        </w:tc>
        <w:tc>
          <w:tcPr>
            <w:tcW w:w="6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114,784</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117,605</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Assets held for sale</w:t>
            </w:r>
          </w:p>
        </w:tc>
        <w:tc>
          <w:tcPr>
            <w:tcW w:w="50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Goodwill, net</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42,090</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Other assets</w:t>
            </w:r>
          </w:p>
        </w:tc>
        <w:tc>
          <w:tcPr>
            <w:tcW w:w="248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w:t>
            </w:r>
          </w:p>
        </w:tc>
        <w:tc>
          <w:tcPr>
            <w:tcW w:w="6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$ 276,563</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$ 269,655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4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Current liabilities:</w:t>
            </w:r>
          </w:p>
        </w:tc>
        <w:tc>
          <w:tcPr>
            <w:tcW w:w="2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$ 41,270</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$ 41,660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Dividends payable</w:t>
            </w:r>
          </w:p>
        </w:tc>
        <w:tc>
          <w:tcPr>
            <w:tcW w:w="5060" w:type="dxa"/>
            <w:vAlign w:val="bottom"/>
            <w:gridSpan w:val="3"/>
          </w:tcPr>
          <w:p>
            <w:pPr>
              <w:jc w:val="right"/>
              <w:ind w:right="600"/>
              <w:spacing w:after="0"/>
              <w:rPr>
                <w:sz w:val="20"/>
                <w:szCs w:val="20"/>
                <w:color w:val="auto"/>
              </w:rPr>
            </w:pPr>
            <w:r>
              <w:rPr>
                <w:rFonts w:ascii="Arial" w:cs="Arial" w:eastAsia="Arial" w:hAnsi="Arial"/>
                <w:sz w:val="17"/>
                <w:szCs w:val="17"/>
                <w:color w:val="auto"/>
              </w:rPr>
              <w:t>1,377</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and wages</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12,062</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Income taxes payable</w:t>
            </w:r>
          </w:p>
        </w:tc>
        <w:tc>
          <w:tcPr>
            <w:tcW w:w="5060" w:type="dxa"/>
            <w:vAlign w:val="bottom"/>
            <w:gridSpan w:val="3"/>
          </w:tcPr>
          <w:p>
            <w:pPr>
              <w:jc w:val="right"/>
              <w:ind w:right="600"/>
              <w:spacing w:after="0"/>
              <w:rPr>
                <w:sz w:val="20"/>
                <w:szCs w:val="20"/>
                <w:color w:val="auto"/>
              </w:rPr>
            </w:pPr>
            <w:r>
              <w:rPr>
                <w:rFonts w:ascii="Arial" w:cs="Arial" w:eastAsia="Arial" w:hAnsi="Arial"/>
                <w:sz w:val="17"/>
                <w:szCs w:val="17"/>
                <w:color w:val="auto"/>
              </w:rPr>
              <w:t>3,960</w:t>
            </w:r>
          </w:p>
        </w:tc>
        <w:tc>
          <w:tcPr>
            <w:tcW w:w="1980" w:type="dxa"/>
            <w:vAlign w:val="bottom"/>
          </w:tcPr>
          <w:p>
            <w:pPr>
              <w:jc w:val="right"/>
              <w:spacing w:after="0"/>
              <w:rPr>
                <w:sz w:val="20"/>
                <w:szCs w:val="20"/>
                <w:color w:val="auto"/>
              </w:rPr>
            </w:pPr>
            <w:r>
              <w:rPr>
                <w:rFonts w:ascii="Arial" w:cs="Arial" w:eastAsia="Arial" w:hAnsi="Arial"/>
                <w:sz w:val="17"/>
                <w:szCs w:val="17"/>
                <w:color w:val="auto"/>
              </w:rPr>
              <w:t>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Short-term portion of long-term notes payable</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1,509</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Other liabilities</w:t>
            </w:r>
          </w:p>
        </w:tc>
        <w:tc>
          <w:tcPr>
            <w:tcW w:w="248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4,833</w:t>
            </w:r>
          </w:p>
        </w:tc>
        <w:tc>
          <w:tcPr>
            <w:tcW w:w="6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65,011</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15,337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Long-term notes payable</w:t>
            </w:r>
          </w:p>
        </w:tc>
        <w:tc>
          <w:tcPr>
            <w:tcW w:w="5060" w:type="dxa"/>
            <w:vAlign w:val="bottom"/>
            <w:gridSpan w:val="3"/>
          </w:tcPr>
          <w:p>
            <w:pPr>
              <w:jc w:val="right"/>
              <w:ind w:right="600"/>
              <w:spacing w:after="0"/>
              <w:rPr>
                <w:sz w:val="20"/>
                <w:szCs w:val="20"/>
                <w:color w:val="auto"/>
              </w:rPr>
            </w:pPr>
            <w:r>
              <w:rPr>
                <w:rFonts w:ascii="Arial" w:cs="Arial" w:eastAsia="Arial" w:hAnsi="Arial"/>
                <w:sz w:val="17"/>
                <w:szCs w:val="17"/>
                <w:color w:val="auto"/>
              </w:rPr>
              <w:t>57,900</w:t>
            </w:r>
          </w:p>
        </w:tc>
        <w:tc>
          <w:tcPr>
            <w:tcW w:w="1980" w:type="dxa"/>
            <w:vAlign w:val="bottom"/>
          </w:tcPr>
          <w:p>
            <w:pPr>
              <w:jc w:val="right"/>
              <w:spacing w:after="0"/>
              <w:rPr>
                <w:sz w:val="20"/>
                <w:szCs w:val="20"/>
                <w:color w:val="auto"/>
              </w:rPr>
            </w:pPr>
            <w:r>
              <w:rPr>
                <w:rFonts w:ascii="Arial" w:cs="Arial" w:eastAsia="Arial" w:hAnsi="Arial"/>
                <w:sz w:val="17"/>
                <w:szCs w:val="17"/>
                <w:color w:val="auto"/>
              </w:rPr>
              <w:t>57,900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Accrued Pension and Other</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12,212</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Other liabilities</w:t>
            </w:r>
          </w:p>
        </w:tc>
        <w:tc>
          <w:tcPr>
            <w:tcW w:w="248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3,963</w:t>
            </w:r>
          </w:p>
        </w:tc>
        <w:tc>
          <w:tcPr>
            <w:tcW w:w="6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154,423</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122,140</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360" w:type="dxa"/>
            <w:vAlign w:val="bottom"/>
            <w:tcBorders>
              <w:top w:val="single" w:sz="8" w:color="CCEEFF"/>
            </w:tcBorders>
          </w:tcPr>
          <w:p>
            <w:pPr>
              <w:spacing w:after="0"/>
              <w:rPr>
                <w:sz w:val="19"/>
                <w:szCs w:val="19"/>
                <w:color w:val="auto"/>
              </w:rPr>
            </w:pPr>
          </w:p>
        </w:tc>
        <w:tc>
          <w:tcPr>
            <w:tcW w:w="2480" w:type="dxa"/>
            <w:vAlign w:val="bottom"/>
            <w:tcBorders>
              <w:top w:val="single" w:sz="8" w:color="CCEEFF"/>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50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$ 276,563</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$ 269,655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935"/>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80" w:type="dxa"/>
            <w:vAlign w:val="bottom"/>
          </w:tcPr>
          <w:p>
            <w:pPr>
              <w:jc w:val="right"/>
              <w:ind w:right="1035"/>
              <w:spacing w:after="0"/>
              <w:rPr>
                <w:sz w:val="20"/>
                <w:szCs w:val="20"/>
                <w:color w:val="auto"/>
              </w:rPr>
            </w:pPr>
            <w:r>
              <w:rPr>
                <w:rFonts w:ascii="Arial" w:cs="Arial" w:eastAsia="Arial" w:hAnsi="Arial"/>
                <w:sz w:val="14"/>
                <w:szCs w:val="14"/>
                <w:color w:val="auto"/>
              </w:rPr>
              <w:t>4</w:t>
            </w: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70"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2019-12-14T03:14:55Z</dcterms:created>
  <dcterms:modified xsi:type="dcterms:W3CDTF">2019-12-14T03:14:55Z</dcterms:modified>
</cp:coreProperties>
</file>