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4"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3060" w:right="5159" w:hanging="313"/>
        <w:spacing w:after="0" w:line="536" w:lineRule="auto"/>
        <w:tabs>
          <w:tab w:leader="none" w:pos="30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(Name of Issuer)</w:t>
      </w:r>
    </w:p>
    <w:p>
      <w:pPr>
        <w:jc w:val="center"/>
        <w:ind w:right="2419"/>
        <w:spacing w:after="0" w:line="234" w:lineRule="auto"/>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629305103</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47" w:right="1440" w:bottom="1440" w:gutter="0" w:footer="0" w:header="0"/>
        </w:sectPr>
      </w:pPr>
    </w:p>
    <w:bookmarkStart w:id="1" w:name="page2"/>
    <w:bookmarkEnd w:id="1"/>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Guardian Trust Company</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95-2553868</w:t>
      </w:r>
    </w:p>
    <w:p>
      <w:pPr>
        <w:spacing w:after="0" w:line="202"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7180"/>
        <w:spacing w:after="0" w:line="238" w:lineRule="auto"/>
        <w:rPr>
          <w:sz w:val="20"/>
          <w:szCs w:val="20"/>
          <w:color w:val="auto"/>
        </w:rPr>
      </w:pPr>
      <w:r>
        <w:rPr>
          <w:rFonts w:ascii="Courier New" w:cs="Courier New" w:eastAsia="Courier New" w:hAnsi="Courier New"/>
          <w:sz w:val="18"/>
          <w:szCs w:val="18"/>
          <w:color w:val="auto"/>
        </w:rPr>
        <w:t>(a)</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214" w:lineRule="exact"/>
        <w:rPr>
          <w:sz w:val="20"/>
          <w:szCs w:val="20"/>
          <w:color w:val="auto"/>
        </w:rPr>
      </w:pPr>
    </w:p>
    <w:p>
      <w:pPr>
        <w:ind w:left="1900" w:right="6519" w:hanging="417"/>
        <w:spacing w:after="0" w:line="470"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827,000</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827,000</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293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827,000 Beneficial ownership disclaimed pursuant to Rule 13d-4</w:t>
      </w:r>
    </w:p>
    <w:p>
      <w:pPr>
        <w:spacing w:after="0" w:line="214"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5.6%</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BK</w:t>
      </w:r>
    </w:p>
    <w:p>
      <w:pPr>
        <w:spacing w:after="0" w:line="208"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919"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NN Ball &amp; Roller, Inc.</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800 Tennessee Road</w:t>
      </w:r>
    </w:p>
    <w:p>
      <w:pPr>
        <w:ind w:left="740"/>
        <w:spacing w:after="0"/>
        <w:tabs>
          <w:tab w:leader="none" w:pos="1880" w:val="left"/>
        </w:tabs>
        <w:rPr>
          <w:sz w:val="20"/>
          <w:szCs w:val="20"/>
          <w:color w:val="auto"/>
        </w:rPr>
      </w:pPr>
      <w:r>
        <w:rPr>
          <w:rFonts w:ascii="Courier New" w:cs="Courier New" w:eastAsia="Courier New" w:hAnsi="Courier New"/>
          <w:sz w:val="18"/>
          <w:szCs w:val="18"/>
          <w:color w:val="auto"/>
        </w:rPr>
        <w:t>Erwin, TN</w:t>
        <w:tab/>
        <w:t>37650</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Guardian Trust Company</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629305103</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7" w:lineRule="exact"/>
        <w:rPr>
          <w:sz w:val="20"/>
          <w:szCs w:val="20"/>
          <w:color w:val="auto"/>
        </w:rPr>
      </w:pPr>
    </w:p>
    <w:p>
      <w:pPr>
        <w:ind w:right="3359" w:firstLine="745"/>
        <w:spacing w:after="0" w:line="470" w:lineRule="auto"/>
        <w:tabs>
          <w:tab w:leader="none" w:pos="136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3(a)(6) of the Act. Item 4 Ownership</w:t>
      </w:r>
    </w:p>
    <w:p>
      <w:pPr>
        <w:spacing w:after="0" w:line="12" w:lineRule="exact"/>
        <w:rPr>
          <w:sz w:val="20"/>
          <w:szCs w:val="20"/>
          <w:color w:val="auto"/>
        </w:rPr>
      </w:pPr>
    </w:p>
    <w:p>
      <w:pPr>
        <w:ind w:left="740" w:right="2739"/>
        <w:spacing w:after="0" w:line="237" w:lineRule="auto"/>
        <w:rPr>
          <w:sz w:val="20"/>
          <w:szCs w:val="20"/>
          <w:color w:val="auto"/>
        </w:rPr>
      </w:pPr>
      <w:r>
        <w:rPr>
          <w:rFonts w:ascii="Courier New" w:cs="Courier New" w:eastAsia="Courier New" w:hAnsi="Courier New"/>
          <w:sz w:val="18"/>
          <w:szCs w:val="18"/>
          <w:color w:val="auto"/>
        </w:rPr>
        <w:t>Capital Guardian Trust Company, a bank as defined in Section 3(a)6 of the Act is deemed to be the beneficial owner of 827,000 shares or 5.6% of the 14,804,000 shares of Common Stock believed to be outstanding as a result of its serving as the investment manager of various institutional accounts.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 ]</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N/A</w:t>
      </w:r>
    </w:p>
    <w:p>
      <w:pPr>
        <w:spacing w:after="0" w:line="203"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right="5059"/>
        <w:spacing w:after="0" w:line="470" w:lineRule="auto"/>
        <w:rPr>
          <w:sz w:val="20"/>
          <w:szCs w:val="20"/>
          <w:color w:val="auto"/>
        </w:rPr>
      </w:pPr>
      <w:r>
        <w:rPr>
          <w:rFonts w:ascii="Courier New" w:cs="Courier New" w:eastAsia="Courier New" w:hAnsi="Courier New"/>
          <w:sz w:val="18"/>
          <w:szCs w:val="18"/>
          <w:color w:val="auto"/>
        </w:rPr>
        <w:t>Item 9 Notice of Dissolution of the Group: N/A Item 10 Certification</w:t>
      </w:r>
    </w:p>
    <w:p>
      <w:pPr>
        <w:sectPr>
          <w:pgSz w:w="11900" w:h="16838" w:orient="portrait"/>
          <w:cols w:equalWidth="0" w:num="1">
            <w:col w:w="10219"/>
          </w:cols>
          <w:pgMar w:left="240" w:top="717" w:right="1440" w:bottom="1440" w:gutter="0" w:footer="0" w:header="0"/>
        </w:sectPr>
      </w:pPr>
    </w:p>
    <w:bookmarkStart w:id="4" w:name="page5"/>
    <w:bookmarkEnd w:id="4"/>
    <w:p>
      <w:pPr>
        <w:spacing w:after="0" w:line="470" w:lineRule="auto"/>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420" w:right="2619"/>
        <w:spacing w:after="0" w:line="237" w:lineRule="auto"/>
        <w:rPr>
          <w:sz w:val="20"/>
          <w:szCs w:val="20"/>
          <w:color w:val="auto"/>
        </w:rPr>
      </w:pPr>
      <w:r>
        <w:rPr>
          <w:rFonts w:ascii="Courier New" w:cs="Courier New" w:eastAsia="Courier New" w:hAnsi="Courier New"/>
          <w:sz w:val="18"/>
          <w:szCs w:val="18"/>
          <w:color w:val="auto"/>
        </w:rPr>
        <w:t>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42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9899"/>
          </w:cols>
          <w:pgMar w:left="560" w:top="5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9, 1998 (For the period 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1997)</w:t>
      </w:r>
    </w:p>
    <w:p>
      <w:pPr>
        <w:spacing w:after="0" w:line="200" w:lineRule="exact"/>
        <w:rPr>
          <w:sz w:val="20"/>
          <w:szCs w:val="20"/>
          <w:color w:val="auto"/>
        </w:rPr>
      </w:pPr>
    </w:p>
    <w:p>
      <w:pPr>
        <w:sectPr>
          <w:pgSz w:w="11900" w:h="16838" w:orient="portrait"/>
          <w:cols w:equalWidth="0" w:num="2">
            <w:col w:w="1400" w:space="720"/>
            <w:col w:w="7779"/>
          </w:cols>
          <w:pgMar w:left="560" w:top="520" w:right="1440" w:bottom="1440" w:gutter="0" w:footer="0" w:header="0"/>
          <w:type w:val="continuous"/>
        </w:sectPr>
      </w:pPr>
    </w:p>
    <w:p>
      <w:pPr>
        <w:spacing w:after="0" w:line="204"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*David I. Fisher</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David I. Fisher, Chairman</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Capital Guardian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Michael J. Downer</w:t>
      </w:r>
    </w:p>
    <w:p>
      <w:pPr>
        <w:ind w:left="126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260" w:right="2939"/>
        <w:spacing w:after="0" w:line="237" w:lineRule="auto"/>
        <w:rPr>
          <w:sz w:val="20"/>
          <w:szCs w:val="20"/>
          <w:color w:val="auto"/>
        </w:rPr>
      </w:pPr>
      <w:r>
        <w:rPr>
          <w:rFonts w:ascii="Courier New" w:cs="Courier New" w:eastAsia="Courier New" w:hAnsi="Courier New"/>
          <w:sz w:val="18"/>
          <w:szCs w:val="18"/>
          <w:color w:val="auto"/>
        </w:rPr>
        <w:t>Signed pursuant to a Power of Attorney dated June 16, 1998 included as an Exhibit to Schedule 13G filed with the Securities and Exchange Commission by Capital Guardian Trust Company on July 9, 1998 with respect to Acclaim Entertainment, Inc.</w:t>
      </w:r>
    </w:p>
    <w:sectPr>
      <w:pgSz w:w="11900" w:h="16838" w:orient="portrait"/>
      <w:cols w:equalWidth="0" w:num="1">
        <w:col w:w="9899"/>
      </w:cols>
      <w:pgMar w:left="560" w:top="52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40"/>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5"/>
      <w:numFmt w:val="bullet"/>
      <w:start w:val="1"/>
    </w:lvl>
  </w:abstractNum>
  <w:abstractNum w:abstractNumId="5">
    <w:nsid w:val="79E2A9E3"/>
    <w:multiLevelType w:val="hybridMultilevel"/>
    <w:lvl w:ilvl="0">
      <w:lvlJc w:val="left"/>
      <w:lvlText w:val="8"/>
      <w:numFmt w:val="bullet"/>
      <w:start w:val="1"/>
    </w:lvl>
  </w:abstractNum>
  <w:abstractNum w:abstractNumId="6">
    <w:nsid w:val="7545E146"/>
    <w:multiLevelType w:val="hybridMultilevel"/>
    <w:lvl w:ilvl="0">
      <w:lvlJc w:val="left"/>
      <w:lvlText w:val="9"/>
      <w:numFmt w:val="bullet"/>
      <w:start w:val="1"/>
    </w:lvl>
  </w:abstractNum>
  <w:abstractNum w:abstractNumId="7">
    <w:nsid w:val="515F007C"/>
    <w:multiLevelType w:val="hybridMultilevel"/>
    <w:lvl w:ilvl="0">
      <w:lvlJc w:val="left"/>
      <w:lvlText w:val="%1"/>
      <w:numFmt w:val="decimal"/>
      <w:start w:val="10"/>
    </w:lvl>
    <w:lvl w:ilvl="1">
      <w:lvlJc w:val="left"/>
      <w:lvlText w:val="*"/>
      <w:numFmt w:val="bullet"/>
      <w:start w:val="1"/>
    </w:lvl>
  </w:abstractNum>
  <w:abstractNum w:abstractNumId="8">
    <w:nsid w:val="5BD062C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2019-12-14T03:10:45Z</dcterms:created>
  <dcterms:modified xsi:type="dcterms:W3CDTF">2019-12-14T03:10:45Z</dcterms:modified>
</cp:coreProperties>
</file>