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379730</wp:posOffset>
            </wp:positionV>
            <wp:extent cx="73723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637" w:right="419" w:bottom="1440" w:gutter="0" w:footer="0" w:header="0"/>
        </w:sect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00"/>
          </w:cols>
          <w:pgMar w:left="320" w:top="637" w:right="419" w:bottom="1440" w:gutter="0" w:footer="0" w:header="0"/>
          <w:type w:val="continuous"/>
        </w:sectPr>
      </w:pPr>
    </w:p>
    <w:p>
      <w:pPr>
        <w:spacing w:after="0" w:line="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37"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June 30, 2026, NN, Inc. (the “Company”) entered into a Securities Purchase Agreement (the “Purchase Agreement”) with certain institutional investors (the “Purchasers”), pursuant to which the Company agreed to sell and issue to the Purchasers 24,509,804 shares (the “Shares”) of the Company’s common stock (“Common Stock”) in a private placement transaction (the “Private Placement”). The purchase price per share of Common Stock is $3.06 per share (the “Purchase Price”). The closing of the Private Placement is expected to occur on or about July 2, 2026 (the “Closing”), subject to the satisfaction of customary closing conditions. The total gross proceeds to the Company at the Closing are expected to be $75.0 million.</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Purchasers, customary conditions to closing, and indemnification obligations of the Company and the Purchasers.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Craig-Hallum Capital Group LLC is acting as placement agent (the “Placement Agent”) for the Private Placement. The Placement Agent is entitled to receive a fee equal to approximately 6.0% of the aggregate gross proceeds from the securities sold at the Closing, plus the reimbursement of certain expenses.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on June 30, 2026, the Company entered into a registration rights agreement (the “Registration Rights Agreement”) with the Purchasers. Under the Registration Rights Agreement, the Company has agreed to file a registration statement covering the resale by the Purchasers of the Shares within 45 days following the date of the Registration Rights Agreement (the “Filing Date”) and to use commercially reasonable efforts to cause such registration statement to be declared effective within 45 days following the Filing Date (or in the case of a “full review” by the Securities and Exchange Commission (the “SEC”), within 90 days following the Filing Date) and to keep such registration statement effective until the date the Shares covered by such registration statement have been sold. In the event that such registration statement is not filed or declared effective within the time frames set forth in the Registration Rights Agreement, such effective registration statement subsequently becomes unavailable, or use of the prospectus contained in such registration statement is suspended for certain periods of time, we will be required to pay certain liquidated damages to the Purchasers. The Company has agreed to be responsible for all fees and expenses incurred in connection with the registration of the Shares.</w:t>
      </w:r>
    </w:p>
    <w:p>
      <w:pPr>
        <w:spacing w:after="0" w:line="18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contains covenants and other provisions customary for transactions of this nature. Pursuant to the Registration Rights Agreement, the Company and the Purchasers have each also granted customary indemnification rights to the other in connection with the registration statement.</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Registration Rights Agreement do not purport to be complete and are qualified in their entirety by reference to the Form of Purchase Agreement and Form of Registration Rights Agreement, copies of which are filed as Exhibit 10.1 and Exhibit 10.2 hereto, respectively, and are incorporated by reference herein.</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and the Registration Rights Agreement were made solely for the benefit of the parties thereto and the placement agent expressly named as a third-party beneficiary thereto and may be subject to limitations agreed upon by the contracting parties. Accordingly, the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Securities.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Purchasers in the Purchase Agreement, the offering and sale of the securities described above are being offered and sold in a private placement under Section 4(a)(2) of the Securities Act of 1933, as amended (the “Securities Act”), and Regulation D promulgated thereunder, and have not been registered under the Securities Act, or applicable state securities laws. Accordingly, such securities may not be offered or sold in the United States except pursuant to an effective registration statement or an applicable exemption from the registration requirement of the Securities Act and such applicable state securities laws.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80" w:hanging="527"/>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38"/>
        </w:trPr>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740" w:type="dxa"/>
            <w:vAlign w:val="bottom"/>
            <w:tcBorders>
              <w:top w:val="single" w:sz="8" w:color="auto"/>
            </w:tcBorders>
            <w:gridSpan w:val="2"/>
          </w:tcPr>
          <w:p>
            <w:pPr>
              <w:jc w:val="center"/>
              <w:ind w:left="33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020" w:type="dxa"/>
            <w:vAlign w:val="bottom"/>
            <w:tcBorders>
              <w:left w:val="single" w:sz="8" w:color="0000EE"/>
            </w:tcBorders>
          </w:tcPr>
          <w:p>
            <w:pPr>
              <w:spacing w:after="0" w:line="20" w:lineRule="exact"/>
              <w:rPr>
                <w:sz w:val="1"/>
                <w:szCs w:val="1"/>
                <w:color w:val="auto"/>
              </w:rPr>
            </w:pPr>
          </w:p>
        </w:tc>
      </w:tr>
      <w:tr>
        <w:trPr>
          <w:trHeight w:val="196"/>
        </w:trPr>
        <w:tc>
          <w:tcPr>
            <w:tcW w:w="74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Form of Registration Rights Agreement</w:t>
            </w: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7"/>
          <w:szCs w:val="17"/>
          <w:color w:val="auto"/>
        </w:rPr>
        <w:t>This Securities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dated as of June 30, 2026, between NN,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each purchaser identified on the signature pages hereto (each, including its successors and assigns, a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Purchasers</w:t>
      </w:r>
      <w:r>
        <w:rPr>
          <w:rFonts w:ascii="Times New Roman" w:cs="Times New Roman" w:eastAsia="Times New Roman" w:hAnsi="Times New Roman"/>
          <w:sz w:val="17"/>
          <w:szCs w:val="17"/>
          <w:color w:val="auto"/>
        </w:rPr>
        <w:t>”).</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exemption from the registration requirements of Section 5 of the Securities Act contained in Section 4(a)(2) thereof and/or Rule 506 of Regulation D thereunder as to the Shares of Common Stock, the Company desires to issue and sell to each Purchaser, and each Purchaser, severally and not jointly, desires to purchase from the Company, securities of the Company as more fully described in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5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(a) in no event earlier than the first Trading Day following the date hereof and (b) in no event later than the fifth Trading Day after the date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shares, right, option, warrant or other instrument that is at any time convertible into or exercisable or exchangeable for, or otherwise entitles the holder thereof to receive,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Odyssey Transfer and Trust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Agreement</w:t>
      </w:r>
      <w:r>
        <w:rPr>
          <w:rFonts w:ascii="Times New Roman" w:cs="Times New Roman" w:eastAsia="Times New Roman" w:hAnsi="Times New Roman"/>
          <w:sz w:val="17"/>
          <w:szCs w:val="17"/>
          <w:color w:val="auto"/>
        </w:rPr>
        <w:t>” means the escrow agreement, dated June 30, 2026, by and among the Company, the Escrow Agent and the Placement Agent pursuant to which the Purchasers shall deposit Subscription Amounts with the Escrow Agent to be applied to the transactions contemplated hereunder.</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restricted stock awards, restricted stock unit awards, options or other equity awards (or the issuance of shares of Common Stock upon the exercise or settlement, including any “net” or “cashless” exercises or settlements of any such awards) to employees, consultants, officers or directors of the Company pursuant to any share or option plan or arrangement disclosed in the SEC Reports on the date of this Agreement, (b) the filing by the Company of a registration statement on Form S-8 with respect to any such share or option plan or arrangement, (c)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(d) any securities in connection with the transactions pursuant to this Agreement and any securities upon the exercise or exchange of or conversion of any securities issued hereunder, and (e) securities issued or agreements to issue securities pursuant to transactions and the payment of contractor invoices in the ordinary course of business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means the Company, any of its predecessors, any affiliated issuer, or, to its knowledge,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$3.06, subject to adjustment for reverse and forward share splits, share dividends, share combinations and other similar transactions of the shares of Common Stock that occur after the date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7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that certain placement agency agreement dated as of the date hereof between the Company and the Placement Agent.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Craig-Hallum Capital Group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or affecting the Company, any Subsidiary or any of their respective properties before or by any court, arbitrator, governmental or administrative agency or regulatory authority (federal, state, county, local or foreign).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4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4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424</w:t>
      </w:r>
      <w:r>
        <w:rPr>
          <w:rFonts w:ascii="Times New Roman" w:cs="Times New Roman" w:eastAsia="Times New Roman" w:hAnsi="Times New Roman"/>
          <w:sz w:val="17"/>
          <w:szCs w:val="17"/>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5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Exhibit 21.1 to the Form 10-K filed by the Company on March 4, 2026 for the year ended December 31, 2025, and any subsidiary subsequently disclosed in the SEC Reports, and shall, where applicable, also include any direct or indirect subsidiary of the Company formed or acquired after the date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are listed or quoted for trading on the date in question: the NYSE American, the Nasdaq Capital Market, the Nasdaq Global Market, the Nasdaq Global Select Market, the New York Stock Exchange (or any successors to any of the foregoing).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7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Registration Rights Agreement, the Placement Agency Agreement, all exhibits and schedules thereto and hereto and any other documents or agreements executed in connection with the transactions contemplated 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and any successor transfer agent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are then listed or quoted on a Trading Market, the daily volume weighted average price of the Common Stock for such date (or the nearest preceding date) on the Trading Market on which the Common Stock are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are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Shares then outstanding and reasonably acceptable to the Company, the fees and expenses of which shall be paid by the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an aggregate of $24,509,804 of Shares (at the Per Share Purchase Price)Each Purchaser shall deliver to the Escrow Agent, via wire transfer , immediately available funds equal to such Purchaser’s Subscription Amount as set forth on the signature page hereto executed by such Purchaser, and the Company shall deliver to each Purchaser its Shares, and the Company and each Purchaser shall deliver the other items set forth in Section 2.2 deliverable at the Closing. Upon satisfaction of the covenants and conditions set forth in Sections 2.2 and 2.3, the Closing shall occur at a location as the parties hereto shall mutually agree.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each Purchaser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60" w:hanging="648"/>
        <w:spacing w:after="0" w:line="250" w:lineRule="auto"/>
        <w:tabs>
          <w:tab w:leader="none" w:pos="2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Counsel addressed to each of the Placement Agent and the Purchasers, in a form reasonably acceptable to the Purchasers and the Placement Agent,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right="60" w:hanging="648"/>
        <w:spacing w:after="0" w:line="250" w:lineRule="auto"/>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and the Placement Agent with a certificate executed by the Chief Financial Officer of the Company, dated as of such date, certifying that the conditions specified in Section 2.3(b)(i), (ii) and (iv) have been fulfilled;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0" w:hanging="648"/>
        <w:spacing w:after="0" w:line="250" w:lineRule="auto"/>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issue in registered book-entry form the number of Shares equal to such Purchaser’s Subscription Amount applicable to the Shares divided by the Per Share Purchase Price, registered in the name of such Purchaser;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8"/>
          <w:szCs w:val="18"/>
          <w:color w:val="auto"/>
        </w:rPr>
        <w:t>the Registration Rights Agreement duly executed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On or prior to the Closing Date (unless otherwise set forth below), each Purchaser shall deliver or cause to be delivered to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or the Escrow Agent, as applicable,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the Registration Rights Agreement duly executed by such Purchaser;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such Purchaser’s Subscription Amount by wire transfer to the account specified in the Escrow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40" w:hanging="648"/>
        <w:spacing w:after="0" w:line="250" w:lineRule="auto"/>
        <w:tabs>
          <w:tab w:leader="none" w:pos="2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300" w:hanging="648"/>
        <w:spacing w:after="0" w:line="250"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in all material respects;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the delivery by each Purchaser of the items set forth in Section 2.2(b)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60" w:firstLine="648"/>
        <w:spacing w:after="0" w:line="250" w:lineRule="auto"/>
        <w:rPr>
          <w:sz w:val="20"/>
          <w:szCs w:val="20"/>
          <w:color w:val="auto"/>
        </w:rPr>
      </w:pPr>
      <w:r>
        <w:rPr>
          <w:rFonts w:ascii="Times New Roman" w:cs="Times New Roman" w:eastAsia="Times New Roman" w:hAnsi="Times New Roman"/>
          <w:sz w:val="18"/>
          <w:szCs w:val="18"/>
          <w:color w:val="auto"/>
        </w:rPr>
        <w:t>(b)                The respective obligations of the Purchasers hereunder in connection with the Closing are subject to the following conditions being met: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60" w:hanging="648"/>
        <w:spacing w:after="0" w:line="265" w:lineRule="auto"/>
        <w:tabs>
          <w:tab w:leader="none" w:pos="2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hanging="648"/>
        <w:spacing w:after="0" w:line="250" w:lineRule="auto"/>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the delivery by the Company of the items set forth in Section 2.2(a)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right="40" w:hanging="648"/>
        <w:spacing w:after="0" w:line="250" w:lineRule="auto"/>
        <w:tabs>
          <w:tab w:leader="none" w:pos="2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which SEC Reports shall be deemed a part hereof and shall qualify any representation or warranty otherwise made herein to the extent of the disclosure contained in the SEC Reports, the Company hereby makes the following representations and warranties to each Purchaser: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on the SEC Reports. Except as disclosed in the SEC Reports, the Company owns, directly or indirectly, all of the capital share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as would not, individually or in the aggregate, reasonably be expected to have a Material Adverse Effect. Neither the Company nor any Subsidiary is in violation nor default of any of the provisions of its respective certificate or articles of incorporation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the market price or trading volume of the Common Stock alone shall not be deemed, in and of itself, to constitute a Material Adverse Effect. To the Company’s knowledge, no Proceeding has been instituted in any such jurisdiction revoking, limiting or curtailing or seeking to revoke, limit or curtail such power and authority or qualification.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1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spacing w:after="0" w:line="211"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Registration Statement pursuant to the Registration Rights Agreement, (iii) application(s) to each applicable Trading Market for the listing of the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shares the maximum number of shares of Common Stock issuable pursuant to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Company’s disclosure of its authorized, issued and outstanding capital stock in the SEC Reports containing such disclosure was accurate in all material respects as of the date indicated in such SEC Reports. The Company has not issued any capital shares since its most recently filed periodic report under the Exchange Act, other than pursuant to the exercise of employee share options under the Company’s share option plans, the issuance of shares of Common Stock or Common Stock Equivalents to employees, consultants and directors pursuant to the Company’s equity incentive plans and pursuant to the conversion and/or exercise of Common Stock Equivalents outstanding as of the date of the most recently filed periodic report under the Exchange Act. Except as a result of the purchase and sale of the Shares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share of any Subsidiary, or contracts, commitments, understandings or arrangements by which the Company or any Subsidiary is or may become bound to issue additional shares of Common Stock or Common Stock Equivalents or capital shares of any Subsidiary.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set forth in the SEC Reports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Company does not have any share appreciation rights or “phantom stock” plans or agreements or any similar plan or agreement. All of the outstanding capital shares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shareholder, the Board of Directors or others is required for the issuance and sale of the Shares. There are no shareholders agreements, voting agreements or other similar agreements with respect to the Company’s capital shares to which the Company is a party or, to the knowledge of the Company, between or among any of the Company’s shareholders.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SEC Reports; Financial Statements</w:t>
      </w:r>
      <w:r>
        <w:rPr>
          <w:rFonts w:ascii="Times New Roman" w:cs="Times New Roman" w:eastAsia="Times New Roman" w:hAnsi="Times New Roman"/>
          <w:sz w:val="17"/>
          <w:szCs w:val="17"/>
          <w:color w:val="auto"/>
        </w:rPr>
        <w:t>. Except as disclosed in the SEC Reports, the Company has filed all reports, schedules, forms,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statements and other documents required to be filed by the Company under the Securities Act and Exchange Act, including pursuant to Section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13(a) or 15(d) thereof, for the two years preceding the date hereof (or such shorter period as the Company was required by law or regulation to file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material) (the foregoing materials, including the exhibits thereto and documents incorporated by reference therein being collectively referred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expiration of any such extension. As of their respective dates, the SEC Reports complied in all material respects with the requirements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Act and the Exchange Act, as applicable, and none of the SEC Reports, when filed, contained any untrue statement of a material fact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 to state a material fact required to be stated therein or necessary in order to make the statements therein, in the light of the circumstances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which they were made, not misleading. The Company has never been an issuer subject to Rule 144(i) under the Securities Act. The financial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statements of the Company included in the SEC Reports complied in all material respects with applicable accounting requirements and the rules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regulations of the Commission with respect thereto as in effect at the time of filing. Such financial statements have been prepared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accordance with U.S.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 otherwise specified in such financial statements or the notes thereto and except that unaudited financial statements may not contain all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footnotes required by GAAP, and fairly present in all material respects the financial position of the Company and its consolidated Subsidiaries 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and for the dates thereof and the results of operations and cash flows for the periods then ended, subject, in the case of unaudited statements,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normal, immaterial, year-end audit adjustments.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100" w:firstLine="648"/>
        <w:spacing w:after="0" w:line="265"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set forth in the SEC Reports, (i)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sz w:val="20"/>
          <w:szCs w:val="20"/>
          <w:color w:val="auto"/>
        </w:rPr>
      </w:pPr>
    </w:p>
    <w:p>
      <w:pPr>
        <w:ind w:left="660" w:right="100" w:hanging="4"/>
        <w:spacing w:after="0" w:line="250"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altered its method of accounting, (iv) the Company has not declared or made any dividend or distribution of cash or other property to its shareholders or purchased, redeemed or made any agreements to purchase or redeem any shares of its capital shares and (v) the Company has not issued any equity securities to any officer, director or Affiliate, except pursuant to the Company’s equity incentive plan disclosed in the SEC Reports.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reported in the SEC Reports,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Shares or (ii) would,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which would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  </w:t>
      </w:r>
    </w:p>
    <w:p>
      <w:pPr>
        <w:spacing w:after="0" w:line="212"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u w:val="single" w:color="auto"/>
          <w:color w:val="auto"/>
        </w:rPr>
        <w:t>Regulatory Permits</w:t>
      </w:r>
      <w:r>
        <w:rPr>
          <w:rFonts w:ascii="Times New Roman" w:cs="Times New Roman" w:eastAsia="Times New Roman" w:hAnsi="Times New Roman"/>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and neither the Company nor any Subsidiary has received any notice of proceedings relating to the revocation or modification of any Material Permit.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described in the SEC Reports, (ii) Liens as do not materially affect the value of such property and do not materially interfere with the use made and proposed to be made of such property by the Company and the Subsidiaries, and</w:t>
      </w:r>
    </w:p>
    <w:p>
      <w:pPr>
        <w:spacing w:after="0" w:line="2" w:lineRule="exact"/>
        <w:rPr>
          <w:sz w:val="20"/>
          <w:szCs w:val="20"/>
          <w:color w:val="auto"/>
        </w:rPr>
      </w:pPr>
    </w:p>
    <w:p>
      <w:pPr>
        <w:ind w:left="660" w:right="140" w:hanging="4"/>
        <w:spacing w:after="0" w:line="250"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except as would not have or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set forth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in the ordinary course of business or which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except as would not reasonably be expected to have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material Intellectual Property Rights that are necessary to conduct its business.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for companies of the Company’s size and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or any Subsidiary and, to the knowledge of the Company, none of the employees of the Company or any Subsidiary is presently a party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any transaction with the Company or any Subsidiary (other than for services as employees, officers and directors), including any contract,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or other arrangement providing for the furnishing of services to or by, providing for rental of real or personal property to or from,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providing for the borrowing of money from or lending of money to or otherwise requiring payments to or from any officer, director or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or, to the knowledge of the Company, any entity in which any officer, director, or any such employee has a substantial interest or is 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 director, trustee, shareholder, member or partner, in each case in excess of $120,000 other than for (i) payment of salary or consulting fees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services rendered, (ii) reimbursement for expenses incurred on behalf of the Company and (iii) other employee benefits, including share option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agreements under any share option plan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pursuant to the Placement Agency Agreement, no brokerage or finder’s fees or commissions are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Shares, will not be ,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shares of Common Stock are registered pursuant to Section 12(b) or 12(g) of the Exchange Act, and the Company has taken no action designed to, or which to its knowledge is likely to have the effect of, terminating the registration of the shares of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Except as provided in the SEC Reports,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respective obligations or exercising their respective rights under the Transaction Documents, including without limitation, as a result of the Company’s issuance of the Shares and the Purchasers’ ownership of the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the Shares under the Securities Act, or (ii) any applicable shareholder approval provisions of any Trading Market on which any of the securities of the Company are listed or designated, which, if integrated, will not be obtained.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(aa)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The SEC Reports set forth as of the date hereof all outstanding secured and unsecured Indebtedness of the Company or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Subsidiary (excluding any unpaid interest thereon accrued since the Evaluation Date), or for which the Company or any Subsidiary has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$100,000 (other than trade accounts payable incurred in the ordinary course of business), (y) all guaranties, endorsements and other contingent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obligations in respect of indebtedness of others, whether or not the same are or should be reflected in the Company’s consolidated balance sheet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the notes thereto), except guaranties by endorsement of negotiable instruments for deposit or collection or similar transactions in the ordinary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course of business; and (z) the present value of any lease payments in excess of $100,000 due under leases required to be capitalized in accordance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GAAP.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and (iv) has no unpaid taxes in any material amount claimed to be due by the taxing authority of any jurisdiction, and the officers of the Company or of any Subsidiary know of no basis for any such claim.</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Reports on Form 10-K for the fiscal year ending December 31, 2026.</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65" w:lineRule="auto"/>
        <w:rPr>
          <w:sz w:val="20"/>
          <w:szCs w:val="20"/>
          <w:color w:val="auto"/>
        </w:rPr>
      </w:pPr>
      <w:r>
        <w:rPr>
          <w:rFonts w:ascii="Times New Roman" w:cs="Times New Roman" w:eastAsia="Times New Roman" w:hAnsi="Times New Roman"/>
          <w:sz w:val="17"/>
          <w:szCs w:val="17"/>
          <w:color w:val="auto"/>
        </w:rPr>
        <w:t xml:space="preserve">(ff)               </w:t>
      </w: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Anything in this Agreement or elsewhere herein to the contrary notwithstanding (except for Section 3.2(f)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shares of Common Stock, and (iv) each Purchaser shall not be deemed to have any affiliation with or control over any arm’s length counter-party in any “derivative” transaction. The Company further understands and acknowledges that (y) one or more Purchasers may engage in hedging activities (in material compliance with applicable laws) at various times during the period that the Shares are outstanding, and</w:t>
      </w:r>
    </w:p>
    <w:p>
      <w:pPr>
        <w:spacing w:after="0" w:line="2" w:lineRule="exact"/>
        <w:rPr>
          <w:sz w:val="20"/>
          <w:szCs w:val="20"/>
          <w:color w:val="auto"/>
        </w:rPr>
      </w:pPr>
    </w:p>
    <w:p>
      <w:pPr>
        <w:ind w:left="660" w:right="120" w:hanging="4"/>
        <w:spacing w:after="0" w:line="250" w:lineRule="auto"/>
        <w:tabs>
          <w:tab w:leader="none" w:pos="9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 in connection with the placement of the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80" w:firstLine="648"/>
        <w:spacing w:after="0" w:line="265" w:lineRule="auto"/>
        <w:rPr>
          <w:sz w:val="20"/>
          <w:szCs w:val="20"/>
          <w:color w:val="auto"/>
        </w:rPr>
      </w:pPr>
      <w:r>
        <w:rPr>
          <w:rFonts w:ascii="Times New Roman" w:cs="Times New Roman" w:eastAsia="Times New Roman" w:hAnsi="Times New Roman"/>
          <w:sz w:val="17"/>
          <w:szCs w:val="17"/>
          <w:color w:val="auto"/>
        </w:rPr>
        <w:t xml:space="preserve">(hh)            </w:t>
      </w:r>
      <w:r>
        <w:rPr>
          <w:rFonts w:ascii="Times New Roman" w:cs="Times New Roman" w:eastAsia="Times New Roman" w:hAnsi="Times New Roman"/>
          <w:sz w:val="17"/>
          <w:szCs w:val="17"/>
          <w:u w:val="single" w:color="auto"/>
          <w:color w:val="auto"/>
        </w:rPr>
        <w:t>Cybersecurity</w:t>
      </w:r>
      <w:r>
        <w:rPr>
          <w:rFonts w:ascii="Times New Roman" w:cs="Times New Roman" w:eastAsia="Times New Roman" w:hAnsi="Times New Roman"/>
          <w:sz w:val="17"/>
          <w:szCs w:val="17"/>
          <w:color w:val="auto"/>
        </w:rPr>
        <w:t>. (i)(x) There has been no material security breach or other material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 (y) the Company and the Subsidiaries have not been notified of, and has no knowledge of any event or condition that would reasonably be expected to result in, any material security breach or other material compromise to its IT Systems and Data;</w:t>
      </w:r>
    </w:p>
    <w:p>
      <w:pPr>
        <w:spacing w:after="0" w:line="1" w:lineRule="exact"/>
        <w:rPr>
          <w:sz w:val="20"/>
          <w:szCs w:val="20"/>
          <w:color w:val="auto"/>
        </w:rPr>
      </w:pPr>
    </w:p>
    <w:p>
      <w:pPr>
        <w:ind w:left="660" w:right="200" w:hanging="4"/>
        <w:spacing w:after="0" w:line="250" w:lineRule="auto"/>
        <w:tabs>
          <w:tab w:leader="none" w:pos="9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Share Option Plans</w:t>
      </w:r>
      <w:r>
        <w:rPr>
          <w:rFonts w:ascii="Times New Roman" w:cs="Times New Roman" w:eastAsia="Times New Roman" w:hAnsi="Times New Roman"/>
          <w:sz w:val="17"/>
          <w:szCs w:val="17"/>
          <w:color w:val="auto"/>
        </w:rPr>
        <w:t>. Each share option granted by the Company under the Company’s equity incentive plan disclosed in the SEC was granted (i) in accordance with the terms of the Company’s equity incentive plan and (ii) with an exercise price at least equal to the fair market value of the shares of Common Stock on the date such share option would be considered granted under GAAP and applicable law. No share option granted under the Company’s equity incentive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the Purchasers in connection with the sale of any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80" w:firstLine="648"/>
        <w:spacing w:after="0" w:line="265" w:lineRule="auto"/>
        <w:rPr>
          <w:sz w:val="20"/>
          <w:szCs w:val="20"/>
          <w:color w:val="auto"/>
        </w:rPr>
      </w:pPr>
      <w:r>
        <w:rPr>
          <w:rFonts w:ascii="Times New Roman" w:cs="Times New Roman" w:eastAsia="Times New Roman" w:hAnsi="Times New Roman"/>
          <w:sz w:val="17"/>
          <w:szCs w:val="17"/>
          <w:color w:val="auto"/>
        </w:rPr>
        <w:t xml:space="preserve">(oo)            </w:t>
      </w:r>
      <w:r>
        <w:rPr>
          <w:rFonts w:ascii="Times New Roman" w:cs="Times New Roman" w:eastAsia="Times New Roman" w:hAnsi="Times New Roman"/>
          <w:sz w:val="17"/>
          <w:szCs w:val="17"/>
          <w:u w:val="single" w:color="auto"/>
          <w:color w:val="auto"/>
        </w:rPr>
        <w:t>Private Placement</w:t>
      </w:r>
      <w:r>
        <w:rPr>
          <w:rFonts w:ascii="Times New Roman" w:cs="Times New Roman" w:eastAsia="Times New Roman" w:hAnsi="Times New Roman"/>
          <w:sz w:val="17"/>
          <w:szCs w:val="17"/>
          <w:color w:val="auto"/>
        </w:rPr>
        <w:t>. Assuming the accuracy of the Purchasers’ representations and warranties set forth in Section 3.2, no registration under the Securities Act is required for the offer and sale of the Shares by the Company to the Purchasers as contemplated hereby.</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The Company has offered the Shares for sale only to each Purchaser as an “accredited investor” within the meaning of Rule 501 under the Securities Act.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Shares to be offered and sold hereunder in reliance on Rule 506 under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Act, none of the Company, any of its predecessors, any affiliated issuer, any director, executive officer, other officer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participating in the offering hereunder, any beneficial owner of 20% or more of the Company’s outstanding voting equity securities, calculated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basis of voting power, nor any promoter (as that term is defined in Rule 405 under the Securities Act) connected with the Company in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has exercised reasonable care to determine whether any Issuer Covered Person is subject to a Disqualification Event. The Company has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complied, to the extent applicable, with its disclosure obligations under Rule 506(e), and has furnished to each Purchaser a copy of any disclosures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3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such representation or warranty shall be accurate as of such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understands that the Shares are “restricted securities” and have not been registered under the Securities Act or any applicable state securities law and is acquiring the Shares hereunder in the ordinary course of its business. Such Purchaser is acquiring such Shares as principal for his, her 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such Shares pursuant to the Registration Statement or otherwise in compliance with applicable federal and state securities laws).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either: (i) an “accredited investor” as defined in Rule 501(a)(1), (a)(2), (a)(3), (a)(7), (a)(8), (a)(9), (a)(12) or (a)(13) under the Securities Act or (ii) a “qualified institutional buyer” as defined in Rule 144A(a) under the Securities Act.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80" w:firstLine="648"/>
        <w:spacing w:after="0" w:line="265"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(A)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Shares covered by this Agreement and (B) in the case of a Purchaser that has implemented internal information barriers pursuant to information controls policy to “wall-off” certain trading personnel, the representations set forth above shall only apply to such walled-off trading personnel.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Purchaser (or its broker or other financial representative) to effect Short Sales or similar transactions in the future.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Shares to be offered and sold hereunder in reliance on Rule 506 under the Securities Act, such Purchaser at the time of sale is subject to any of the “Bad Actor” disqualifications described in Rule 506(d)(1)(i) to (viii) under the Securities Act, except for a Disqualification Event covered by Rule 506(d)(2) or (d)(3).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(a)                The Shares may only be disposed of in compliance with state and federal securities laws. In connection with any transfer of any such Shares other than pursuant to an effective registration statement or Rule 144, to the Company or to an Affiliate of a Purchaser or in connection with a pledge as contemplated in Section 4.1(c),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(other than pursuant to an effective Registration Statement or Rule 144), any such transferee shall agree in writing to be bound by the terms of this Agreement and the Registration Rights Agreement and shall have the rights and obligations of a Purchaser under this Agreement and the Registration Rights Agreement.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180" w:firstLine="648"/>
        <w:spacing w:after="0" w:line="250" w:lineRule="auto"/>
        <w:rPr>
          <w:sz w:val="20"/>
          <w:szCs w:val="20"/>
          <w:color w:val="auto"/>
        </w:rPr>
      </w:pPr>
      <w:r>
        <w:rPr>
          <w:rFonts w:ascii="Times New Roman" w:cs="Times New Roman" w:eastAsia="Times New Roman" w:hAnsi="Times New Roman"/>
          <w:sz w:val="18"/>
          <w:szCs w:val="18"/>
          <w:color w:val="auto"/>
        </w:rPr>
        <w:t>(b)                The Purchasers agrees to the imprinting, so long as is required by this Section 4.1, of a legend on the Shares in substantially the following form: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SECURITIES COMMISSION OF ANY STATE IN RELIANCE UPON AN EXEMPTION FROM REGISTRATION UNDER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SECURITIES ACT OF 1933, AS AMENDED (THE “SECURITIES ACT”), AND, ACCORDINGLY, MAY NOT BE OFFERED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SOLD EXCEPT PURSUANT TO AN EFFECTIVE REGISTRATION STATEMENT UNDER THE SECURITIES ACT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PURSUANT TO AN AVAILABLE EXEMPTION FROM, OR IN A TRANSACTION NOT SUBJECT TO, THE REGISTRATION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REQUIREMENTS OF THE SECURITIES ACT AND IN ACCORDANCE WITH APPLICABLE STATE SECURITIES LAWS. THIS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SECURITY [AND THE SECURITIES ISSUABLE UPON EXERCISE OF THE SECURITY] MAY BE PLEDGED IN CONNECTION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BONA FIDE MARGIN ACCOUNT WITH A REGISTERED BROKER-DEALER OR OTHER LOAN WITH A FINANCIAL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INSTITUTION THAT IS AN “ACCREDITED INVESTOR” AS DEFINED IN RULE 501(a) UNDER THE SECURITIES ACT 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OTHER LOAN SECURED BY SUCH SECURITIES.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40" w:firstLine="648"/>
        <w:spacing w:after="0" w:line="265" w:lineRule="auto"/>
        <w:rPr>
          <w:sz w:val="20"/>
          <w:szCs w:val="20"/>
          <w:color w:val="auto"/>
        </w:rPr>
      </w:pPr>
      <w:r>
        <w:rPr>
          <w:rFonts w:ascii="Times New Roman" w:cs="Times New Roman" w:eastAsia="Times New Roman" w:hAnsi="Times New Roman"/>
          <w:sz w:val="17"/>
          <w:szCs w:val="17"/>
          <w:color w:val="auto"/>
        </w:rPr>
        <w:t>(c)                The Company acknowledges and agrees that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if required under the terms of such arrangement, such Purchaser may transfer pledged or secured any of the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any of the Shares may reasonably request in connection with a pledge or transfer of such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Shareholders (as defined in the Registration Rights Agreement) thereunder.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65" w:lineRule="auto"/>
        <w:rPr>
          <w:sz w:val="20"/>
          <w:szCs w:val="20"/>
          <w:color w:val="auto"/>
        </w:rPr>
      </w:pPr>
      <w:r>
        <w:rPr>
          <w:rFonts w:ascii="Times New Roman" w:cs="Times New Roman" w:eastAsia="Times New Roman" w:hAnsi="Times New Roman"/>
          <w:sz w:val="17"/>
          <w:szCs w:val="17"/>
          <w:color w:val="auto"/>
        </w:rPr>
        <w:t>(d)                Certificates (or account statements from the Transfer Agent) evidencing the Shares shall not contain any legend (including the legend set forth in Section 4.1(b) hereof): (i) while a registration statement covering the resale of such security is effective under the Securities Act, or (ii) following any sale of such Shares pursuant to Rule 144, or (iii) if such Shares are eligible for sale under Rule 144, or (iv) if such legend is not required under applicable requirements of the Securities Act (including judicial interpretations and pronouncements issued by the staff of the Commission), subject in the case of clauses (ii), (iii) and (iv) to receipt from the Purchaser by the Company and the Transfer Agent of customary representations and other documentation reasonably acceptable to the Company and the Transfer Agent in connection with such request. The Company shall, or shall cause its counsel to, issue a legal opinion to the Transfer Agent or a Purchaser promptly if required by the Transfer Agent to effect the removal of the legend hereunder, or if requested by such Purchaser, respectively, in each case subject to receipt from the Purchaser of customary representations and other documentation reasonably acceptable to the Company. If Shares may be sold under Rule 144 or if such legend is not otherwise required under applicable requirements of the Securities Act (including judicial interpretations and pronouncements issued by the staff of the Commission) then such Shares shall be issued free of all legends, subject to receipt from Purchaser of customary representations and other documentation reasonably acceptable to the Company. The Company agrees that following such time as such legend is no longer required under this Section 4.1(d), the Company will, no later than two (2) Trading Days following the receipt from Purchaser of customary representations and other documentation reasonably acceptable to the Company and delivery by a Purchaser to the Company or the Transfer Agent of a certificate representing Shares issued with a restrictive legend (such date, the “</w:t>
      </w:r>
      <w:r>
        <w:rPr>
          <w:rFonts w:ascii="Times New Roman" w:cs="Times New Roman" w:eastAsia="Times New Roman" w:hAnsi="Times New Roman"/>
          <w:sz w:val="17"/>
          <w:szCs w:val="17"/>
          <w:u w:val="single" w:color="auto"/>
          <w:color w:val="auto"/>
        </w:rPr>
        <w:t>Legend Removal Date</w:t>
      </w:r>
      <w:r>
        <w:rPr>
          <w:rFonts w:ascii="Times New Roman" w:cs="Times New Roman" w:eastAsia="Times New Roman" w:hAnsi="Times New Roman"/>
          <w:sz w:val="17"/>
          <w:szCs w:val="17"/>
          <w:color w:val="auto"/>
        </w:rPr>
        <w:t>”), deliver or cause to be delivered to such Purchaser a certificate (or account statement from the Transfer Agent) representing such shares that is free from all restrictive and other legends. The Company may not make any notation on its records or give instructions to the Transfer Agent that enlarge the restrictions on transfer set forth in this Section</w:t>
      </w:r>
    </w:p>
    <w:p>
      <w:pPr>
        <w:spacing w:after="0" w:line="3" w:lineRule="exact"/>
        <w:rPr>
          <w:sz w:val="20"/>
          <w:szCs w:val="20"/>
          <w:color w:val="auto"/>
        </w:rPr>
      </w:pPr>
    </w:p>
    <w:p>
      <w:pPr>
        <w:ind w:left="660" w:right="140" w:hanging="4"/>
        <w:spacing w:after="0" w:line="250"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legend removal hereunder shall be transmitted by the Transfer Agent to each applicable Purchaser by crediting the account of such Purchaser’s prime broker with the Depository Trust Company System as directed by such Purchaser.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 addition to such Purchaser’s other available remedies, the Company shall pay to a Purchaser, in cash, (i) as partial liquidated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damages and not as a penalty, for each $1,000 of Shares (based on the VWAP of the shares of Common Stock on the date such Shares 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submitted to the Transfer Agent) delivered for removal of the restrictive legend and subject to Section 4.1(d), $10 per Trading Day (increasing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 per Trading Day five (5) Trading Days after such damages have begun to accrue) for each Trading Day after the Legend Removal Date until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certificate is delivered without a legend; provided that (1) such liquidated damages shall not begin to accrue until the second (2nd) Trading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 after the Legend Removal Date and (2) the aggregate liquidated damages payable under this clause (A) shall not exceed the aggregate value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VWAP referenced above) of the Shares so submitted for legend removal and (ii) if the Company fails to (a) issue and deliver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cause to be delivered) to a Purchaser by the Legend Removal Date a certificate (or account statement from the Transfer Agent) representing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so delivered to the Company by such Purchaser that is free from all restrictive and other legends and (b) if after the Legend Removal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Purchaser purchases (in an open market transaction or otherwise) shares of Common Stock to deliver in satisfaction of a sale by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of all or any portion of the number of shares of Common Stock, or a sale of a number of shares of Common Stock equal to all or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portion of the number of shares of Common Stock, that such Purchaser anticipated receiving from the Company without any restrictive legend,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then an amount equal to the excess of such Purchaser’s total purchase price (including brokerage commissions and other out-of-pocket expenses, if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over the product of (A) such number of Shares that the Company was required to deliver to such Purchaser by the Legend Removal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multiplied by (B) the lowest closing sale price of the shares of Common Stock on any Trading Day during the period commencing on the date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delivery by such Purchaser to the Company of the applicable Shares (as the case may be) and ending on the date of such delivery and payment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this Section 4.1(e).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(f)                 Each Purchaser, severally and not jointly with the other Purchasers, agrees with the Company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upon this understanding.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80" w:firstLine="648"/>
        <w:spacing w:after="0" w:line="250" w:lineRule="auto"/>
        <w:rPr>
          <w:sz w:val="20"/>
          <w:szCs w:val="20"/>
          <w:color w:val="auto"/>
        </w:rPr>
      </w:pPr>
      <w:r>
        <w:rPr>
          <w:rFonts w:ascii="Times New Roman" w:cs="Times New Roman" w:eastAsia="Times New Roman" w:hAnsi="Times New Roman"/>
          <w:sz w:val="18"/>
          <w:szCs w:val="18"/>
          <w:color w:val="auto"/>
        </w:rPr>
        <w:t>(a)                Until the earliest of the (i) the first anniversary of the Closing Date, and (ii) the time that the Purchasers no longer own any of the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80" w:firstLine="648"/>
        <w:spacing w:after="0" w:line="265" w:lineRule="auto"/>
        <w:rPr>
          <w:sz w:val="20"/>
          <w:szCs w:val="20"/>
          <w:color w:val="auto"/>
        </w:rPr>
      </w:pPr>
      <w:r>
        <w:rPr>
          <w:rFonts w:ascii="Times New Roman" w:cs="Times New Roman" w:eastAsia="Times New Roman" w:hAnsi="Times New Roman"/>
          <w:sz w:val="17"/>
          <w:szCs w:val="17"/>
          <w:color w:val="auto"/>
        </w:rPr>
        <w:t>(b)                At any time during the period commencing from the date hereof and ending at such time that all of the Shares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w:t>
      </w:r>
    </w:p>
    <w:p>
      <w:pPr>
        <w:spacing w:after="0" w:line="1" w:lineRule="exact"/>
        <w:rPr>
          <w:sz w:val="20"/>
          <w:szCs w:val="20"/>
          <w:color w:val="auto"/>
        </w:rPr>
      </w:pPr>
    </w:p>
    <w:p>
      <w:pPr>
        <w:ind w:left="660" w:right="40" w:hanging="4"/>
        <w:spacing w:after="0" w:line="250"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Shares, an amount in cash equal to one percent (1.0%) of the aggregate Subscription Amount with respect to the Shares that have not previously been sold, on the day of a Public Information Failure and on every thirtieth (30th) day (pro rated for periods totaling less than thirty days) thereafter until the earlier of (a) the date such Public Information Failure is cured, (b) such time that such public information is no longer required for the Purchasers to transfer the Shares pursuant to Rule 144 and (c) such time that the Shares may be sold pursuant to an effective Registration Statement. If a Purchaser is notified by the Company of a Public Information Failure, then such Purchaser agrees that it shall not sell such Shares until the event of failure giving rise to the Public Information Failure Payments is cured, unless such sale is made pursuant to an exemption from registration other than pursuant to Rule 144, provided that no such Public Information Failure Payments shall be made on such Shares sold pursuant to such exemptions. The payments to which the Purchasers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 Notwithstanding anything to the contrary herein or an any Transaction Document, during any time that the Company is required to pay liquidated damages pursuant to any other Transaction Documents, the Company shall not be required to make any Public Information Failure Payments hereunder until such time as the Company is no longer obligated to pay such other liquidated damages (and only to the extent that a Public Information Failure is then continuing).</w:t>
      </w:r>
    </w:p>
    <w:p>
      <w:pPr>
        <w:spacing w:after="0" w:line="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The Company shall not sell, offer for sale or solicit offers to buy or otherwise negotiate in respect of any security (as</w:t>
      </w:r>
    </w:p>
    <w:p>
      <w:pPr>
        <w:spacing w:after="0" w:line="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Securities Laws Disclosure; Publicity</w:t>
      </w:r>
      <w:r>
        <w:rPr>
          <w:rFonts w:ascii="Times New Roman" w:cs="Times New Roman" w:eastAsia="Times New Roman" w:hAnsi="Times New Roman"/>
          <w:sz w:val="17"/>
          <w:szCs w:val="17"/>
          <w:color w:val="auto"/>
        </w:rPr>
        <w:t>. The Company shall (a) by the Disclosure Time issue a press release disclosing the material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transactions contemplated hereby, and (b) file a Current Report on Form 8-K, including the Transaction Documents as exhibits thereto,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Commission within the time required by the Exchange Act. From and after the issuance of such press release, the Company represents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as of the Closing, that it shall have publicly disclosed all material, non-public information delivered to any of the Purchasers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Subsidiaries, or any of their respective officers, directors, employees or agents in connection with the transactions contemplated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In addition, effective upon the issuance of such press release, the Company acknowledges and agrees that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or similar obligations under any agreement, whether written or oral, between the Company, any of its Subsidiaries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directors, agents, employees or Affiliates on the one hand, and any of the Purchasers or any of their Affiliates on the other hand, shall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understands and confirms that each Purchaser shall be relying on the foregoing covenant in effecting transactions in securities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Companyand each Purchaser shall consult with each other in issuing any other press releases with respect to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and neither the Company nor any Purchaser shall issue any such press release nor otherwise make any such public statement without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the Company, with respect to any press release of any Purchaser, or without the prior consent of each Purchaser, with respect to any press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which consent shall not unreasonably be withheld or delayed, except that if such disclosure is required by law, in which case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disclosing party shall promptly provide the other party with prior notice of such public statement or communication. Notwithstanding the foregoing,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not publicly disclose the name of any Purchaser, or include the name of any Purchaser in any filing with the Commission or any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or Trading Market, without the prior written consent of such Purchaser, except (a) as required by federal securities law in connection with (i)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contemplated by the Registration Rights Agreement and (ii) the filing of final Transaction Documents with the Commission and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such disclosure is required by law or Trading Market regulations, in which case the Company shall provide the Purchasers with prior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 permitted under this clause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such Purchaser shall remain subject to applicable law. To the extent that any notice provided pursuant to any Transaction Document constitutes, or contains, material, non-public information regarding the Company or any Subsidiaries, the Company shall simultaneously file such material non-public information with the Commission pursuant to a Report on Form 8-K. The Company understands and confirms that each Purchaser shall be relying on the foregoing covenant in effecting transactions in securities of the Company.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and other general corporate purposes and shall not use such proceeds: (a) for the redemption of any Common Stock or Common Stock Equivalents, (b) for the settlement of any outstanding litigation or (c) in violation of FCPA or OFAC regulations.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Indemnification of Purchaser</w:t>
      </w:r>
      <w:r>
        <w:rPr>
          <w:rFonts w:ascii="Times New Roman" w:cs="Times New Roman" w:eastAsia="Times New Roman" w:hAnsi="Times New Roman"/>
          <w:sz w:val="17"/>
          <w:szCs w:val="17"/>
          <w:color w:val="auto"/>
        </w:rPr>
        <w:t>. Subject to the provisions of this Section 4.8, the Company will indemnify and hold each Purchaser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directors, officers, shareholders, members, partners, employees and agents (and any other Persons with a functionally equivalent role of a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such titles notwithstanding a lack of such title or any other title), each Person who controls such Purchaser (within the meaning of Section 15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and Section 20 of the Exchange Act), and the directors, officers, shareholders, agents, members, partners or employees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with a functionally equivalent role of a Person holding such titles notwithstanding a lack of such title or any other title) of such controlling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amounts paid in settlements, court costs and reasonable and documented attorneys’ fees and costs of investigation that any such Purchaser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suffer or incur as a result of or relating to (a) any breach of any of the representations, warranties, covenants or agreements made by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in the other Transaction Documents or (b) any action instituted against the Purchaser Parties in any capacity, or any of them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by any shareholder of the Company who is not an Affiliate of such Purchaser Party, with respect to any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the Transaction Documents (unless such action is based upon a material breach of such Purchaser Party’s representations, warranties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under the Transaction Documents or any agreements or understandings such Purchaser Party may have with any such shareholder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by such Purchaser Party of state or federal securities laws or any conduct by such Purchaser Party which is finally judicially determined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fraud, gross negligence or willful misconduct). If any action shall be brought against any Purchaser Party in respect of which indemnity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sought pursuant to this Agreement, such Purchaser Party shall promptly notify the Company in writing, and the Company shall have the right to assume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defense thereof with counsel of its own choosing reasonably acceptable to such Purchaser Party. Any Purchaser Party shall have the right to engage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counsel in any such action and participate in the defense thereof, but the fees and expenses of such counsel shall be at the expense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Party except to the extent that (x) the engagement thereof has been specifically authorized by the Company in writing, (y)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failed after a reasonable period of time to assume such defense and to engage counsel or (z) in such action there is, in the reasonable opinion of counsel,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conflict on any material issue between the position of the Company and the position of such Purchaser Party, in which case the Company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the reasonable fees and expenses of no more than one such separate counsel. The Company will not be liable to any Purchaser Party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(1) for any settlement by a Purchaser Party effected without the Company’s prior written consent, which shall not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delayed; or (2) to the extent, but only to the extent that a loss, claim, damage or liability is attributable to any Purchaser Party’s breach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warranties, covenants or agreements made by such Purchaser Party in this Agreement or in the other Transaction Documents.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required by this Section 4.8 shall be made by periodic payments of the amount thereof during the course of the investigation or defense,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when bills are received or are incurred. The indemnity agreements contained herein shall be in addition to any cause of action or similar right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Party against the Company or others and any liabilities the Company may be subject to pursuant to law. The Company will not, except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any Purchaser Party, which consent shall not be unreasonably withheld, conditioned or delayed, consent to entry of any judgment or enter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settlement with respect to any pending proceeding in respect to which a Purchaser Party is a party and indemnity could have been sought hereunder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Purchaser Party, unless such settlement or judgment (i) imposes no liability or obligation on the Purchaser Party, (ii) includes an unconditional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party bringing such indemnified claims of such Purchaser Party from all liability in respect of or arising out of such claims or proceedings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or proceedings that are the subject matter of such proceeding and (iii) does not include any admission of fault, culpability, wrongdoing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malfeasance by or on behalf of the Purchaser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quotation of the Common Stock on the Trading Market on which it is currently listed, and prior to the Closing, the Company shall have applied to list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 all of the Shares on such Trading Market and promptly secure the listing of all of the Shares on such Trading Market. The Company further agrees,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applies to have the Common Stock traded on any other Trading Market, it will then include in such application all of the Shares and,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such other action as is necessary to cause all of the Shares to be listed or quoted on such other Trading Market as promptly as possible.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then take all action reasonably necessary to continue the listing and trading of its Common Stock on a Trading Market and will comply in all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Company’s reporting, filing and other obligations under the bylaws or rules of the Trading Market. The Company agrees to maintain the eligibility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Common Stock for electronic transfer through the Depository Trust Company or another established clearing corporation,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by timely payment of fees to the Depository Trust Company or such other established clearing corporation in connection with such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From the date hereof until 30 days after the date on which a Registration Statement registering for resale all of the Shares is declared effective by the Commission (such applicable period,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During the Restricted Period, the Company shall be prohibited from effecting or entering into an agreement to effect any issuance by the Company or any of its Subsidiaries of shares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shares of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40" w:firstLine="648"/>
        <w:spacing w:after="0" w:line="250" w:lineRule="auto"/>
        <w:rPr>
          <w:sz w:val="20"/>
          <w:szCs w:val="20"/>
          <w:color w:val="auto"/>
        </w:rPr>
      </w:pPr>
      <w:r>
        <w:rPr>
          <w:rFonts w:ascii="Times New Roman" w:cs="Times New Roman" w:eastAsia="Times New Roman" w:hAnsi="Times New Roman"/>
          <w:sz w:val="18"/>
          <w:szCs w:val="18"/>
          <w:color w:val="auto"/>
        </w:rPr>
        <w:t>(c)                Notwithstanding the foregoing, this Section 4.11 shall not apply in respect of an Exempt Issuance, except that no Variable Rate Transaction shall be an Exempt Issuance.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engage in effecting transactions in any securities of the Company after the time that the transactions contemplated by this Agreement are first publicly announced pursuant to the initial press release as described in Section 4.4, (ii) no Purchaser shall be restricted or prohibited by this Agreement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(A) in the case of a Purchaser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Shares covered by this Agreement and (B) in the case of a Purchaser that has implemented internal information barriers pursuant to information controls policy to “wall-off” certain trading personnel, the representations set forth above shall only apply to such walled-off trading personnel.  </w:t>
      </w:r>
    </w:p>
    <w:p>
      <w:pPr>
        <w:spacing w:after="0" w:line="208" w:lineRule="exact"/>
        <w:rPr>
          <w:sz w:val="20"/>
          <w:szCs w:val="20"/>
          <w:color w:val="auto"/>
        </w:rPr>
      </w:pPr>
    </w:p>
    <w:p>
      <w:pPr>
        <w:ind w:right="30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Form D; Blue Sky Filings</w:t>
      </w:r>
      <w:r>
        <w:rPr>
          <w:rFonts w:ascii="Times New Roman" w:cs="Times New Roman" w:eastAsia="Times New Roman" w:hAnsi="Times New Roman"/>
          <w:sz w:val="17"/>
          <w:szCs w:val="17"/>
          <w:color w:val="auto"/>
        </w:rPr>
        <w:t>. The Company agrees to timely file a Form D with respect to the offering of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the Company or by any Purchaser, as to such Purchaser’s obligations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hereunder only, and without any effect whatsoever on the obligations between the Company and the other Purchasers, by written notice to the other parties,</w:t>
      </w:r>
    </w:p>
    <w:p>
      <w:pPr>
        <w:spacing w:after="0" w:line="21" w:lineRule="exact"/>
        <w:rPr>
          <w:sz w:val="20"/>
          <w:szCs w:val="20"/>
          <w:color w:val="auto"/>
        </w:rPr>
      </w:pPr>
    </w:p>
    <w:p>
      <w:pPr>
        <w:ind w:right="280"/>
        <w:spacing w:after="0" w:line="209" w:lineRule="auto"/>
        <w:rPr>
          <w:sz w:val="20"/>
          <w:szCs w:val="20"/>
          <w:color w:val="auto"/>
        </w:rPr>
      </w:pPr>
      <w:r>
        <w:rPr>
          <w:rFonts w:ascii="Times New Roman" w:cs="Times New Roman" w:eastAsia="Times New Roman" w:hAnsi="Times New Roman"/>
          <w:sz w:val="18"/>
          <w:szCs w:val="18"/>
          <w:color w:val="auto"/>
        </w:rPr>
        <w:t>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hereto to sue for any breach by any other party (or parties) 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hereto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hereto with respect to the subject matter hereof and thereof and supersede all prior agreements and understandings, oral or written, with respect to such matters, which such parties acknowledge have been merged into such documents, exhibits and schedules.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187"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w:t>
      </w:r>
    </w:p>
    <w:p>
      <w:pPr>
        <w:spacing w:after="0"/>
        <w:rPr>
          <w:sz w:val="20"/>
          <w:szCs w:val="20"/>
          <w:color w:val="auto"/>
        </w:rPr>
      </w:pPr>
      <w:r>
        <w:rPr>
          <w:rFonts w:ascii="Times New Roman" w:cs="Times New Roman" w:eastAsia="Times New Roman" w:hAnsi="Times New Roman"/>
          <w:sz w:val="18"/>
          <w:szCs w:val="18"/>
          <w:color w:val="auto"/>
        </w:rPr>
        <w:t>overnight courier service or (d) upon actual receipt by the party to whom such notice is required to be given. The address for such notices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shall be as set forth on the signature pages attached hereto. To the extent that any notice provided pursuant to any Transaction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constitutes, or contains, material, non-public information regarding the Company or any Subsidiaries, the Company shall simultaneously file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Commission pursuant to a Report on Form 8-K.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 (other than in respect of a transfer pursuant to an effective registration statement).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hereto agrees that all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hereto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hereto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 for a period of five (5) years from the Closing.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the parties hereto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Replacement of Shares</w:t>
      </w:r>
      <w:r>
        <w:rPr>
          <w:rFonts w:ascii="Times New Roman" w:cs="Times New Roman" w:eastAsia="Times New Roman" w:hAnsi="Times New Roman"/>
          <w:sz w:val="17"/>
          <w:szCs w:val="17"/>
          <w:color w:val="auto"/>
        </w:rPr>
        <w:t>. If any certificate or instrument evidencing any Shares is mutilated, lost, stolen or destroyed,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issue or cause to be issued in exchange and substitution for and upon cancellation thereof (in the case of mutilation), or in lieu of and substitution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a new certificate or instrument, but only upon receipt of evidence reasonably satisfactory to the Company of such loss, theft or destruction.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for a new certificate or instrument under such circumstances shall also pay any reasonable third-party costs (including customary 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issuance of such replacement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hereto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Each party hereto agrees that it shall not have a remedy of punitive or consequential damages against the other and hereby waives any right or claim to punitive or consequential damages it may now have or may arise in the future.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xml:space="preserve">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5.19            </w:t>
      </w: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share splits, share dividends, share combinations and other similar transactions of the shares of Common Stock that occur after the date of this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IN ANY ACTION, SUIT, OR PROCEEDING IN ANY JURISDICTION BROUGHT BY ANY PARTY HERETO AGAINST ANY OTHER PARTY HERETO, THE PARTIES HERETO EACH KNOWINGLY AND INTENTIONALLY, TO THE GREATEST EXTENT PERMITTED BY APPLICABLE LAW, HEREBY ABSOLUTELY, UNCONDITIONALLY, IRREVOCABLY AND EXPRESSLY WAIVES FOREVER TRIAL BY JURY.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tbl>
      <w:tblPr>
        <w:tblLayout w:type="fixed"/>
        <w:tblInd w:w="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256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198"/>
        </w:trPr>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NN, INC.</w:t>
            </w:r>
          </w:p>
        </w:tc>
        <w:tc>
          <w:tcPr>
            <w:tcW w:w="2600" w:type="dxa"/>
            <w:vAlign w:val="bottom"/>
            <w:gridSpan w:val="2"/>
          </w:tcPr>
          <w:p>
            <w:pPr>
              <w:ind w:left="2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Address for Notice:</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60" w:type="dxa"/>
            <w:vAlign w:val="bottom"/>
          </w:tcPr>
          <w:p>
            <w:pPr>
              <w:spacing w:after="0"/>
              <w:rPr>
                <w:sz w:val="18"/>
                <w:szCs w:val="18"/>
                <w:color w:val="auto"/>
              </w:rPr>
            </w:pPr>
          </w:p>
        </w:tc>
        <w:tc>
          <w:tcPr>
            <w:tcW w:w="26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 </w:t>
            </w: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Fax:    </w:t>
            </w: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9"/>
              </w:rPr>
              <w:t>E-mail:</w:t>
            </w:r>
          </w:p>
        </w:tc>
        <w:tc>
          <w:tcPr>
            <w:tcW w:w="49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its authorized signatory as of the date first indicated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 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 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 xml:space="preserve">Beneficial Ownership Blocker </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 xml:space="preserve"> 4.99% or </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 xml:space="preserve"> 9.99%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11260"/>
          </w:cols>
          <w:pgMar w:left="320" w:top="220"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30, 2026, between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0" w:hanging="18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Capitalized terms used and not otherwise defined herein that are defined in the Purchase Agreement shall have the meanings given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0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Filing Date for such Initial Registration Statement (or, in the event of a “full review” by the Securities and Exchange Commission</w:t>
      </w:r>
    </w:p>
    <w:p>
      <w:pPr>
        <w:spacing w:after="0" w:line="2" w:lineRule="exact"/>
        <w:rPr>
          <w:sz w:val="20"/>
          <w:szCs w:val="20"/>
          <w:color w:val="auto"/>
        </w:rPr>
      </w:pPr>
    </w:p>
    <w:p>
      <w:pPr>
        <w:jc w:val="both"/>
        <w:ind w:left="660" w:right="20"/>
        <w:spacing w:after="0" w:line="18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Filing Date for such Initial Registration Statement and with respect to any additional Registration Statements which may be required pursuant to Section 2(c) or Section 3(c),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w:t>
      </w:r>
    </w:p>
    <w:p>
      <w:pPr>
        <w:jc w:val="both"/>
        <w:ind w:left="660" w:right="20"/>
        <w:spacing w:after="0" w:line="237" w:lineRule="auto"/>
        <w:rPr>
          <w:sz w:val="20"/>
          <w:szCs w:val="20"/>
          <w:color w:val="auto"/>
        </w:rPr>
      </w:pPr>
      <w:r>
        <w:rPr>
          <w:rFonts w:ascii="Times New Roman" w:cs="Times New Roman" w:eastAsia="Times New Roman" w:hAnsi="Times New Roman"/>
          <w:sz w:val="18"/>
          <w:szCs w:val="18"/>
          <w:color w:val="auto"/>
        </w:rPr>
        <w:t>additional Registration Statement is required to be filed hereunder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Commission is closed for operations due to a government shutdown, the Effectiveness Date as to such Registration Statement shall be extended by the same amount of days that the Commission remains closed for operations.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with respect to the Initial Registration Statement required hereunder, the forty-fifth (45th) day after the date hereof, and, with respect to any additional Registration Statements which may be required pursuant to Section 2(c) or Section 3(c), the earliest reasonably practical date following the date on which the Company is permitted by SEC Guidance to file such additional Registration Statement related to the Registrable Securities.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means, as of any date of determination, all (a) Shares and (b) any securities issued or then issuable upon any stock split, stock dividend or other distribution, recapitalization or similar event with respect to the foregoing;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any such Registrable Securities shall cease to be Registrable Securities (and the Company shall not be required to maintain the effectiveness of any, or file another, Registration Statement hereunder with respect thereto) if (x) a Registration Statement with respect to the sale of such Registrable Securities is declared effective by the Commission under the Securities Act and such Registrable Securities have been disposed of by the Holder in accordance with such effective Registration Statement, (y) such Registrable Securities have been previously sold in accordance with Rule 144, or</w:t>
      </w:r>
    </w:p>
    <w:p>
      <w:pPr>
        <w:spacing w:after="0" w:line="1" w:lineRule="exact"/>
        <w:rPr>
          <w:sz w:val="20"/>
          <w:szCs w:val="20"/>
          <w:color w:val="auto"/>
        </w:rPr>
      </w:pPr>
    </w:p>
    <w:p>
      <w:pPr>
        <w:ind w:left="660" w:right="20" w:hanging="4"/>
        <w:spacing w:after="0" w:line="250" w:lineRule="auto"/>
        <w:tabs>
          <w:tab w:leader="none" w:pos="9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Registrable Securities have become eligible for resale without volume or manner-of-sale restrictions and without the requirement for the Company to be in compliance with the current public information requirement under Rule 144.</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Commission staff, or any comments, requirements or requests of the Commission staff and (ii) the Securities Act.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 the shares of Common Stock issued or issuable to each Purchaser pursuant to the Purchase Agreement.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Form S-1 or on another appropriate form in accordance herewith, subject to the provisions of Section 2(e)) and shall contain (unless otherwise directed by at least 85% in interest of the Holders and except if otherwise required pursuant to written comments received from the Commission upon a review of such Registration Statement)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Subject to the terms of this Agreement, the Company shall use its commercially reasonable efforts to cause a Registration Statement filed under this Agreement (including, without limitation, under Section 3(c)) to be declared effective under the Securities Act as promptly as reasonably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no longer constitute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request acceleration of effectiveness of a Registration Statement no later than 5:00 p.m. (New York City time) on a Trading Day. The Company shall by 4:00 p.m. (New York City time) on the Trading Day after the effective date of such Registration Statement, file a final Prospectus with the Commission as required by Rule 424.</w:t>
      </w:r>
    </w:p>
    <w:p>
      <w:pPr>
        <w:spacing w:after="0" w:line="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6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S-1 or such other form available to register for resale the Registrable Securities as a secondary offering, subject to the provisions of Section 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or otherwise directed by the staff of the Commission, the number of Registrable Securities to be registered on such Registration Statement will be</w:t>
      </w:r>
    </w:p>
    <w:p>
      <w:pPr>
        <w:spacing w:after="0" w:line="2" w:lineRule="exact"/>
        <w:rPr>
          <w:sz w:val="20"/>
          <w:szCs w:val="20"/>
          <w:color w:val="auto"/>
        </w:rPr>
      </w:pPr>
    </w:p>
    <w:p>
      <w:pPr>
        <w:jc w:val="center"/>
        <w:ind w:right="8560"/>
        <w:spacing w:after="0"/>
        <w:rPr>
          <w:sz w:val="20"/>
          <w:szCs w:val="20"/>
          <w:color w:val="auto"/>
        </w:rPr>
      </w:pPr>
      <w:r>
        <w:rPr>
          <w:rFonts w:ascii="Times New Roman" w:cs="Times New Roman" w:eastAsia="Times New Roman" w:hAnsi="Times New Roman"/>
          <w:sz w:val="18"/>
          <w:szCs w:val="18"/>
          <w:color w:val="auto"/>
        </w:rPr>
        <w:t>reduced as follows: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780" w:right="1180"/>
        <w:spacing w:after="0" w:line="250" w:lineRule="auto"/>
        <w:rPr>
          <w:sz w:val="20"/>
          <w:szCs w:val="20"/>
          <w:color w:val="auto"/>
        </w:rPr>
      </w:pPr>
      <w:r>
        <w:rPr>
          <w:rFonts w:ascii="Times New Roman" w:cs="Times New Roman" w:eastAsia="Times New Roman" w:hAnsi="Times New Roman"/>
          <w:sz w:val="18"/>
          <w:szCs w:val="18"/>
          <w:color w:val="auto"/>
        </w:rPr>
        <w:t>i.      First, the Company shall reduce or eliminate any securities to be included other than Registrable Securities; and  </w:t>
      </w:r>
    </w:p>
    <w:p>
      <w:pPr>
        <w:spacing w:after="0" w:line="1" w:lineRule="exact"/>
        <w:rPr>
          <w:sz w:val="20"/>
          <w:szCs w:val="20"/>
          <w:color w:val="auto"/>
        </w:rPr>
      </w:pPr>
    </w:p>
    <w:p>
      <w:pPr>
        <w:ind w:left="1340" w:right="40" w:firstLine="363"/>
        <w:spacing w:after="0" w:line="250" w:lineRule="auto"/>
        <w:rPr>
          <w:sz w:val="20"/>
          <w:szCs w:val="20"/>
          <w:color w:val="auto"/>
        </w:rPr>
      </w:pPr>
      <w:r>
        <w:rPr>
          <w:rFonts w:ascii="Times New Roman" w:cs="Times New Roman" w:eastAsia="Times New Roman" w:hAnsi="Times New Roman"/>
          <w:sz w:val="18"/>
          <w:szCs w:val="18"/>
          <w:color w:val="auto"/>
        </w:rPr>
        <w:t>ii.      Second, the Company shall reduce Registrable Securities represented by Shares on a pro rata basis based on the total number of unregistered Shares held by such Holders.</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calculations as to such Holder’s allotment, and the Company’s obligations. In the event the Company amends the Initial Registration Statement 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accordance with the foregoing, the Company will use its commercially reasonable efforts to file with the Commission, as promptly as reasonably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possible after the time allowed by Commission or SEC Guidance provided to the Company or to registrants of securities in general, one or more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statements on Form S-1 or such other form available to register for resale those Registrable Securities that were not registered for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resale on the Initial Registration Statement,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4"/>
        <w:spacing w:after="0" w:line="250" w:lineRule="auto"/>
        <w:tabs>
          <w:tab w:leader="none" w:pos="15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a Registration Statement in accordance with Rule 461 promulgated by the Commission pursuant to the Securities Act, within three (3)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as soon as reasonably practicable under the circumstances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that, if the Registration Statement does not allow for the resale of Registrable Securities at prevailing market prices (i.e., only allows for fixed price sales), the Company shall have been deemed to have not satisfied this clause and any such event or circumstance shall thus constitute an “Event” as defined below) or (v) after the effective date of a Registration Statement, such Registration Statement ceases for any reason to remain continuously effective as to all Registrable Securities included in such Registration Statement, or the Holders are suspended from or otherwise not permitted to utilize the Prospectus therein to resell such Registrable Securities (including due to an Allowed Delay), in either case, for more than fifteen (15) consecutive calendar days or more than an aggregate of twenty five (25)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three (3) Trading Day period is exceeded, and for purpose of clause (v) the date on which such fifteen (15) or twenty five</w:t>
      </w:r>
    </w:p>
    <w:p>
      <w:pPr>
        <w:spacing w:after="0" w:line="7" w:lineRule="exact"/>
        <w:rPr>
          <w:rFonts w:ascii="Times New Roman" w:cs="Times New Roman" w:eastAsia="Times New Roman" w:hAnsi="Times New Roman"/>
          <w:sz w:val="18"/>
          <w:szCs w:val="18"/>
          <w:color w:val="auto"/>
        </w:rPr>
      </w:pPr>
    </w:p>
    <w:p>
      <w:pPr>
        <w:jc w:val="both"/>
        <w:ind w:left="660" w:right="20" w:hanging="4"/>
        <w:spacing w:after="0" w:line="250" w:lineRule="auto"/>
        <w:tabs>
          <w:tab w:leader="none" w:pos="10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earlier of (1) the date that the applicable Event is cured and (2) the Registrable Securities are eligible for resale pursuant to Rule 144 without manner of sale or volume restrictions, the Company shall pay to each Holder an amount in cash, as partial liquidated damages and not as a penalty, equal to the product of 1.0% multiplied by the aggregate Subscription Amount paid by such Holder pursuant to the Purchase Agreement for any unregistered Registrable Securities then held by such Holder. 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Effectiveness Date) and the maximum aggregate liquidated damages payable to a Holder under this Agreement shall be 6.0% of the aggregate Subscription Amount paid by such Holder pursuant to the Purchase Agreement, and (2) in no event shall the Company be liable in any 30-day period for Liquidated Damages under this Agreement in excess of 1.0% of the aggregate purchase price paid by the Holders; provided, that the Company shall not be required to make any payments pursuant to this Section 2(d) with respect to any Registrable Securities the Company is unable to register due to limits imposed by the Commission’s interpretation of Rule 415 under the Securities Act as contemplated by Section 2(b) or in respect of any Permitted Suspension Period (as provided in Section 3(j)). If the Company fails to pay any partial liquidated damages pursuant to this Section in full within seven days after the date payable, the Company will pay interest thereon at a rate of 12%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 provided that, if the Commission staff requests that a Holder or affiliate thereof be identified as a statutory underwriter in a Registration Statement, then such Holder will have the option, in its sole and absolute discretion, to either (i) have the opportunity to withdraw its Registrable Securities from the Registration Statement upon its prompt written request to the Company, in which case the Company’s obligation to register such Holder’s Registrable Securities shall be deemed satisfied in full, or (ii) be included as such (or have its affiliate included as such) in the Registration Statement.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4"/>
        <w:spacing w:after="0" w:line="250"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fifteen (15) consecutive calendar days or for a total of not more than twenty (25) calendar days in any twelve (12) month period, the Company may suspend the use of any Prospectus included in any Registration Statement contemplated by this Section 2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(a) notify each Holder in writing of the commencement of and the reasons for an Allowed Delay, but shall not (without the prior written consent of a Holder) disclose to such Purchaser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4"/>
        <w:spacing w:after="0" w:line="250" w:lineRule="auto"/>
        <w:tabs>
          <w:tab w:leader="none" w:pos="15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one (1) Trading Day prior to the filing of the Initial Registration Statement and not less than three (3) Trading Days prior to the filing of each additional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three (3)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later than the earlier of (i) three (3) Trading</w:t>
      </w:r>
    </w:p>
    <w:p>
      <w:pPr>
        <w:spacing w:after="0" w:line="5" w:lineRule="exact"/>
        <w:rPr>
          <w:sz w:val="20"/>
          <w:szCs w:val="20"/>
          <w:color w:val="auto"/>
        </w:rPr>
      </w:pPr>
    </w:p>
    <w:p>
      <w:pPr>
        <w:jc w:val="both"/>
        <w:ind w:left="660" w:right="20"/>
        <w:spacing w:after="0" w:line="227" w:lineRule="auto"/>
        <w:rPr>
          <w:sz w:val="20"/>
          <w:szCs w:val="20"/>
          <w:color w:val="auto"/>
        </w:rPr>
      </w:pPr>
      <w:r>
        <w:rPr>
          <w:rFonts w:ascii="Times New Roman" w:cs="Times New Roman" w:eastAsia="Times New Roman" w:hAnsi="Times New Roman"/>
          <w:sz w:val="18"/>
          <w:szCs w:val="18"/>
          <w:color w:val="auto"/>
        </w:rPr>
        <w:t>Days prior to the Filing Date or (ii) the end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following the date on which such Holder receives draft materials in accordance with this Section. In addition to the Selling Stockholder Questionnaire, each Holder shall furnish such other information as shall be reasonably required to effect the registration of such Registrable Securities, and shall execute such documents in connection with such registration as the Company may reasonably request.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243"/>
        <w:spacing w:after="0" w:line="250" w:lineRule="auto"/>
        <w:rPr>
          <w:sz w:val="20"/>
          <w:szCs w:val="20"/>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w:t>
      </w:r>
    </w:p>
    <w:p>
      <w:pPr>
        <w:spacing w:after="0" w:line="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40" w:firstLine="243"/>
        <w:spacing w:after="0" w:line="250" w:lineRule="auto"/>
        <w:rPr>
          <w:sz w:val="20"/>
          <w:szCs w:val="20"/>
          <w:color w:val="auto"/>
        </w:rPr>
      </w:pPr>
      <w:r>
        <w:rPr>
          <w:rFonts w:ascii="Times New Roman" w:cs="Times New Roman" w:eastAsia="Times New Roman" w:hAnsi="Times New Roman"/>
          <w:sz w:val="18"/>
          <w:szCs w:val="18"/>
          <w:color w:val="auto"/>
        </w:rPr>
        <w:t>ii.               cause the related Prospectus to be amended or supplemented by any required Prospectus supplement (subject to the terms of this Agreement), and, as so supplemented or amended, to be filed pursuant to Rule 424, and</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243"/>
        <w:spacing w:after="0" w:line="250" w:lineRule="auto"/>
        <w:rPr>
          <w:sz w:val="20"/>
          <w:szCs w:val="20"/>
          <w:color w:val="auto"/>
        </w:rPr>
      </w:pPr>
      <w:r>
        <w:rPr>
          <w:rFonts w:ascii="Times New Roman" w:cs="Times New Roman" w:eastAsia="Times New Roman" w:hAnsi="Times New Roman"/>
          <w:sz w:val="18"/>
          <w:szCs w:val="18"/>
          <w:color w:val="auto"/>
        </w:rPr>
        <w:t>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w:t>
      </w:r>
    </w:p>
    <w:p>
      <w:pPr>
        <w:spacing w:after="0" w:line="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243"/>
        <w:spacing w:after="0" w:line="250" w:lineRule="auto"/>
        <w:rPr>
          <w:sz w:val="20"/>
          <w:szCs w:val="20"/>
          <w:color w:val="auto"/>
        </w:rPr>
      </w:pPr>
      <w:r>
        <w:rPr>
          <w:rFonts w:ascii="Times New Roman" w:cs="Times New Roman" w:eastAsia="Times New Roman" w:hAnsi="Times New Roman"/>
          <w:sz w:val="18"/>
          <w:szCs w:val="18"/>
          <w:color w:val="auto"/>
        </w:rPr>
        <w:t>iv.              comply in all material respects with the provisions of the Securities Act and the Exchange Act applicable to the Company with respect to the disposition by the Holders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4"/>
        <w:spacing w:after="0" w:line="250" w:lineRule="auto"/>
        <w:tabs>
          <w:tab w:leader="none" w:pos="15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6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right="20" w:firstLine="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right="40" w:firstLine="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of any request by the Commission or any other federal or state governmental authority for amendments or supplements to a Registration Statement or Prospectus or for additional information,</w:t>
      </w: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right="20" w:firstLine="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of the issuance by the Commission or any other federal or state governmental authority of any stop order suspending the effectiveness of a Registration Statement covering any or all of the Registrable Securities or the initiation of any Proceedings for that purpose,</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right="20" w:firstLine="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right="20" w:firstLine="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the case of the Prospectus, in light of the circumstances under which they were made) not misleading, and</w:t>
      </w:r>
    </w:p>
    <w:p>
      <w:pPr>
        <w:spacing w:after="0" w:line="2"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243"/>
        <w:spacing w:after="0" w:line="250" w:lineRule="auto"/>
        <w:rPr>
          <w:sz w:val="20"/>
          <w:szCs w:val="20"/>
          <w:color w:val="auto"/>
        </w:rPr>
      </w:pPr>
      <w:r>
        <w:rPr>
          <w:rFonts w:ascii="Times New Roman" w:cs="Times New Roman" w:eastAsia="Times New Roman" w:hAnsi="Times New Roman"/>
          <w:sz w:val="18"/>
          <w:szCs w:val="18"/>
          <w:color w:val="auto"/>
        </w:rPr>
        <w:t xml:space="preserve">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4"/>
        <w:spacing w:after="0" w:line="250" w:lineRule="auto"/>
        <w:tabs>
          <w:tab w:leader="none" w:pos="1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reasonably practicable moment.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at such Holder’s written request,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(including Section 3(j)), consent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 or following any suspension pursuant to Section 2(d)(iii) and 2(f).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or book-entry notification, as applicable, representing Registrable Securities to be delivered to a transferee pursuant to a Registration Statement, which certificates or book-entry notification shall be free, to the extent permitted by the Purchase Agreement, of all restrictive legends, and to enable such Registrable Securities to be in such denominations and registered in such names as any such Holder may request.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40" w:firstLine="8"/>
        <w:spacing w:after="0" w:line="250"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if required to do so, as promptly as reasonably possible, as determined by the Company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so suspend use of such Prospectus. The Company shall be entitled to exercise its right under this Section 3(j) to suspend the availability of a Registration Statement and Prospectus without payment of partial liquidated damages otherwise required pursuant to Section 2(d) for periods not to exceed an aggregate of 60 calendar days (which need not be consecutive days) in any 12-month period (“</w:t>
      </w:r>
      <w:r>
        <w:rPr>
          <w:rFonts w:ascii="Times New Roman" w:cs="Times New Roman" w:eastAsia="Times New Roman" w:hAnsi="Times New Roman"/>
          <w:sz w:val="18"/>
          <w:szCs w:val="18"/>
          <w:u w:val="single" w:color="auto"/>
          <w:color w:val="auto"/>
        </w:rPr>
        <w:t>Permitted Suspension Periods</w:t>
      </w:r>
      <w:r>
        <w:rPr>
          <w:rFonts w:ascii="Times New Roman" w:cs="Times New Roman" w:eastAsia="Times New Roman" w:hAnsi="Times New Roman"/>
          <w:sz w:val="18"/>
          <w:szCs w:val="18"/>
          <w:color w:val="auto"/>
        </w:rPr>
        <w:t>”). The Company shall use commercially reasonable efforts to minimize the duration and frequency of any such suspension, and shall not exercise its right to suspend sales for the purpose of limiting or restricting any Holder’s ability to sell Registrable Securities for competitive or other non-disclosure-related reasons.</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4"/>
        <w:spacing w:after="0" w:line="250" w:lineRule="auto"/>
        <w:tabs>
          <w:tab w:leader="none" w:pos="15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obtain and thereafter maintain eligibility for use of Form S-3 (or any successor form thereto) for the registration of the resale of the Registrable Securities.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right="20" w:firstLine="332"/>
        <w:spacing w:after="0" w:line="250"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shares of Common Stock are then listed for trading, and (C) in compliance with applicable state securities or Blue Sky laws reasonably agreed to by the Company in writing (including fees and disbursements of counsel for the Company in connection with Blue Sky qualifications or exemptions of the Registrable Securities), (ii) printing expenses (including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underwriting or similar commissions of any Holder, transfer taxes applicable to the sale of Registrable Securities or, except to the extent expressly provided for in the Transaction Documents, any legal fees or other costs of the Holders.</w:t>
      </w:r>
    </w:p>
    <w:p>
      <w:pPr>
        <w:spacing w:after="0" w:line="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0" w:hanging="188"/>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7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shares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or violations are based solely upon information regarding such Holder furnished in writing to the Company by any Holder expressly for use therein, or to the extent that such information relates to any Holder or any Holder’s proposed method of distribution of Registrable Securities and was reviewed and expressly approved in writing by such Holder expressly for use in a Registration Statement, such Prospectus or in any amendment or supplement thereto (it being understood that each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(and any other Persons with a functionally equivalent role of a Person holding such titles, notwithstanding a lack of such title or any other title),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each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4"/>
        <w:spacing w:after="0" w:line="250"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The Indemnified Party shall provide the Indemnifying Party with regular and timely progress updates with respect to any Proceedings.</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for all Indemnified Parties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severally and not jointly with the other Indemnifying Parties,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and documented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otherwise have to the Indemnified Parties.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The failure of any party to exercise any right or remedy under this Agreement or otherwise, or delay by a party to exercise such right or remedy, shall not operate as a waiver thereof. In the event of a breach by the Company or by a Holder of any of its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Piggyback on Registrations; Prohibition on Filing Other Registration Statements. Except with the consent of the majority of the Holders of Registrable Securities, neither the Company nor any of its security holders (other than the Holders in such capacity pursuant hereto) may include securities of the Company in any Registration Statements other than the Registrable Securities. The Company shall not file any other registration statements, other than with respect to an Exempt Issuance (as defined in the Purchase Agreement), until the earlier of the date that all Registrable Securities are (i) registered pursuant to a Registration Statement that is declared effective by the Commission or (ii) eligible for resale by non-affiliates without volume or manner of sale restrictions under Rule 144; provided that this Section 6(b) shall not prohibit the Company from filing amendments to registration statements filed prior to the date of this Agreement or prospectus supplements relating to any offering of securities of the Company pursuant to any registration statement filed by the Company prior to the date of this Agreement, so long as no new securities are registered on any such existing registration statements.</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Disposition.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Subject to Section 3(j), the Company will use its commercially reasonable efforts to ensure that the use of the Prospectus may be resumed as promptly as is reasonably practicable, subject to the first sentence of Section 3(j). The Company agrees and acknowledges that periods during which the Holder is required to discontinue the disposition of the Registrable Securities hereunder shall be subject to the provisions of Section 2(d).</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and Waivers.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provided, however,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who continue to hold any of the Registrable Securities.</w:t>
      </w:r>
    </w:p>
    <w:p>
      <w:pPr>
        <w:spacing w:after="0" w:line="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4"/>
        <w:spacing w:after="0" w:line="250" w:lineRule="auto"/>
        <w:tabs>
          <w:tab w:leader="none" w:pos="15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Any and all notices or other communications or deliveries required or permitted to be provided hereunder shall be delivered as set forth in the Purchase Agreement.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solely in the manner and to the Persons as permitted under Section 5.7 of the Purchase Agreement.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Inconsistent Agreements.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in the SEC Reports, neither the Company nor any of its Subsidiaries has previously entered into any agreement granting any registration rights with respect to any of its securities to any Person that have not been satisfied in full.</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4"/>
        <w:spacing w:after="0" w:line="250" w:lineRule="auto"/>
        <w:tabs>
          <w:tab w:leader="none" w:pos="15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and Counterparts. This Agreement may be executed in two or more counterparts, all of which when taken together shall be considered one and the same agreement and shall become effective when counterparts have been signed by each party and delivered to the other parties, it being understood that the parties need not sign the same counterpart. In the event that any signature is delivered by facsimile transmission or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facsimile or “.pdf” signature page were an original thereof.</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40" w:firstLine="644"/>
        <w:spacing w:after="0" w:line="250" w:lineRule="auto"/>
        <w:tabs>
          <w:tab w:leader="none" w:pos="15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All questions concerning the construction, validity, enforcement and interpretation of this Agreement, and all matters arising hereunder and in connection herewith, shall be determined in accordance with Sections 5.9 and 5.21 of the Purchase Agreement.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Remedies. The remedies provided herein are cumulative and not exclusive of any other remedies provided by law.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4"/>
        <w:spacing w:after="0" w:line="250" w:lineRule="auto"/>
        <w:tabs>
          <w:tab w:leader="none" w:pos="15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5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The headings in this Agreement are for convenience only, do not constitute a part of the Agreement and shall not be deemed to limit or affect any of the provisions hereof.</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4"/>
        <w:spacing w:after="0" w:line="250" w:lineRule="auto"/>
        <w:tabs>
          <w:tab w:leader="none" w:pos="1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requires otherwise.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and all payments hereunder shall be made in, the lawful money of the United States. References to a Person are also to its successors and permitted assigns.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Trading Day, the period in question shall end on the next succeeding Trading Day).</w:t>
      </w:r>
    </w:p>
    <w:p>
      <w:pPr>
        <w:spacing w:after="0" w:line="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       Independent Nature of Holders’ Obligations and Rights.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and the Company acknowledges that the Holders are not acting in concert or as a group in connection with the transactions contemplated by this Agreement,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It is expressly understood and agreed that each provision contained in this Agreement is between the Company and a Holder, solely, and not between the Company and the Holders collectively and not between and among Holders.</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5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This Agreement shall be effective as of the Closing, and if the Closing has not occurred on or prior to fifth (5th) Trading Day following the date of the Purchase Agreement, unless otherwise mutually agreed, then this Agreement shall be null and void.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880" w:type="dxa"/>
            <w:vAlign w:val="bottom"/>
            <w:gridSpan w:val="2"/>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parties have executed this Registration Rights Agreement as of the date first written above.</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60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vMerge w:val="continue"/>
          </w:tcPr>
          <w:p>
            <w:pPr>
              <w:spacing w:after="0"/>
              <w:rPr>
                <w:sz w:val="15"/>
                <w:szCs w:val="15"/>
                <w:color w:val="auto"/>
              </w:rPr>
            </w:pPr>
          </w:p>
        </w:tc>
        <w:tc>
          <w:tcPr>
            <w:tcW w:w="10880" w:type="dxa"/>
            <w:vAlign w:val="bottom"/>
            <w:gridSpan w:val="2"/>
          </w:tcPr>
          <w:p>
            <w:pPr>
              <w:ind w:left="5280"/>
              <w:spacing w:after="0" w:line="177" w:lineRule="exact"/>
              <w:rPr>
                <w:sz w:val="20"/>
                <w:szCs w:val="20"/>
                <w:color w:val="auto"/>
              </w:rPr>
            </w:pPr>
            <w:r>
              <w:rPr>
                <w:rFonts w:ascii="Times New Roman" w:cs="Times New Roman" w:eastAsia="Times New Roman" w:hAnsi="Times New Roman"/>
                <w:sz w:val="18"/>
                <w:szCs w:val="18"/>
                <w:color w:val="auto"/>
              </w:rPr>
              <w:t>Name: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88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[SIGNATURE PAGE OF HOLDERS TO FOLLOW]</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880" w:type="dxa"/>
            <w:vAlign w:val="bottom"/>
            <w:gridSpan w:val="2"/>
          </w:tcPr>
          <w:p>
            <w:pPr>
              <w:ind w:left="5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OF HOLDERS TO RRA]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Each Selling Shareholder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ordinary brokerage transactions and transactions in which the broker-dealer solicits purchasers;</w:t>
      </w:r>
    </w:p>
    <w:p>
      <w:pPr>
        <w:spacing w:after="0" w:line="27"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980" w:right="20" w:hanging="972"/>
        <w:spacing w:after="0" w:line="253" w:lineRule="auto"/>
        <w:tabs>
          <w:tab w:leader="none" w:pos="656"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principal to facilitate the transaction;</w:t>
      </w: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 exchange distribution in accordance with the rules of the applicable exchange;</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privately negotiated transactions;</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settlement of short sales;</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980" w:right="20" w:hanging="972"/>
        <w:spacing w:after="0" w:line="253" w:lineRule="auto"/>
        <w:tabs>
          <w:tab w:leader="none" w:pos="656"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transactions through broker-dealers that agree with the Selling Shareholders to sell a specified number of such securities at a stipulated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price per security;</w:t>
      </w: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 combination of any such methods of sale; or</w:t>
      </w:r>
    </w:p>
    <w:p>
      <w:pPr>
        <w:spacing w:after="0" w:line="14" w:lineRule="exact"/>
        <w:rPr>
          <w:sz w:val="20"/>
          <w:szCs w:val="20"/>
          <w:color w:val="auto"/>
        </w:rPr>
      </w:pPr>
    </w:p>
    <w:p>
      <w:pPr>
        <w:spacing w:after="0"/>
        <w:tabs>
          <w:tab w:leader="none" w:pos="640" w:val="left"/>
          <w:tab w:leader="none" w:pos="9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any other method permitted pursuant to applicable law.</w:t>
      </w:r>
    </w:p>
    <w:p>
      <w:pPr>
        <w:spacing w:after="0" w:line="1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Selling Shareholders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securities may be deemed to be “underwriters”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the Securities Act in connection with such sales. In such event, any commissions received by such broker-dealers or agents and any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resale of the securities purchased by them may be deemed to be underwriting commissions or discounts under the Securities Act. Each Selling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has informed the Company that it does not have any written or oral agreement or understanding, directly or indirectly, with any person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agreed to keep the registration statement of which this prospectus is a part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shares of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Shareholder Notice and Questionnaire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undersigned beneficial owner of shares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shareholder in the Registration Statement and the related prospectus. Accordingly, holders and beneficial owners of Registrable Securities are advised to consult their own securities law counsel regarding the consequences of being named or not being named as a selling shareholder in the Registration Statement and the related prospectus.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Shareholder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or dispose of the securities covered by this Questionnaire) or Control Persons: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8"/>
                <w:szCs w:val="18"/>
                <w:color w:val="auto"/>
              </w:rPr>
            </w:pPr>
          </w:p>
        </w:tc>
        <w:tc>
          <w:tcPr>
            <w:tcW w:w="9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960" w:type="dxa"/>
            <w:vAlign w:val="bottom"/>
            <w:gridSpan w:val="2"/>
          </w:tcPr>
          <w:p>
            <w:pPr>
              <w:ind w:left="9360"/>
              <w:spacing w:after="0"/>
              <w:rPr>
                <w:sz w:val="20"/>
                <w:szCs w:val="20"/>
                <w:color w:val="auto"/>
              </w:rPr>
            </w:pPr>
            <w:r>
              <w:rPr>
                <w:rFonts w:ascii="Times New Roman" w:cs="Times New Roman" w:eastAsia="Times New Roman" w:hAnsi="Times New Roman"/>
                <w:sz w:val="18"/>
                <w:szCs w:val="18"/>
                <w:color w:val="auto"/>
              </w:rPr>
              <w:t>Page 18</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960" w:type="dxa"/>
            <w:vAlign w:val="bottom"/>
            <w:gridSpan w:val="2"/>
          </w:tcPr>
          <w:p>
            <w:pPr>
              <w:ind w:left="992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22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Telephone:</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E-Mail:</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Contact Person:</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-1544955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Are you a broker-dealer?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center"/>
        <w:ind w:righ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60" w:type="dxa"/>
            <w:vAlign w:val="bottom"/>
            <w:vMerge w:val="restart"/>
          </w:tcPr>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6"/>
        </w:trPr>
        <w:tc>
          <w:tcPr>
            <w:tcW w:w="1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10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If “no” to Section 3(b), the Commission’s staff has indicated that you should be identified as an underwriter in the Registration Statement.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w:t>
            </w:r>
          </w:p>
        </w:tc>
        <w:tc>
          <w:tcPr>
            <w:tcW w:w="10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 you an affiliate of a broker-dealer?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60" w:type="dxa"/>
            <w:vAlign w:val="bottom"/>
            <w:vMerge w:val="restart"/>
          </w:tcPr>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1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80" w:type="dxa"/>
            <w:vAlign w:val="bottom"/>
            <w:vMerge w:val="continue"/>
          </w:tcPr>
          <w:p>
            <w:pPr>
              <w:spacing w:after="0"/>
              <w:rPr>
                <w:sz w:val="16"/>
                <w:szCs w:val="16"/>
                <w:color w:val="auto"/>
              </w:rPr>
            </w:pPr>
          </w:p>
        </w:tc>
        <w:tc>
          <w:tcPr>
            <w:tcW w:w="10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300" w:right="20" w:hanging="644"/>
        <w:spacing w:after="0" w:line="250"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center"/>
        <w:ind w:righ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Note:</w:t>
        <w:tab/>
        <w:t>If “no” to Section 3(d), the Commission’s staff has indicated that you should be identified as an underwriter in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Stockholder.</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w:t>
      </w: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88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securities issuable pursuant to the Purchase Agreement.</w:t>
            </w:r>
          </w:p>
        </w:tc>
      </w:tr>
      <w:tr>
        <w:trPr>
          <w:trHeight w:val="216"/>
        </w:trPr>
        <w:tc>
          <w:tcPr>
            <w:tcW w:w="36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Type and Amount of other securities beneficially owned by the Selling Stockholder: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8"/>
                <w:szCs w:val="18"/>
                <w:color w:val="auto"/>
              </w:rPr>
            </w:pPr>
          </w:p>
        </w:tc>
        <w:tc>
          <w:tcPr>
            <w:tcW w:w="9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both"/>
        <w:ind w:left="660" w:right="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any exceptions here:</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840" w:hanging="735"/>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40" w:hanging="735"/>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31" w:lineRule="exact"/>
        <w:rPr>
          <w:rFonts w:ascii="Times New Roman" w:cs="Times New Roman" w:eastAsia="Times New Roman" w:hAnsi="Times New Roman"/>
          <w:sz w:val="18"/>
          <w:szCs w:val="18"/>
          <w:color w:val="auto"/>
        </w:rPr>
      </w:pPr>
    </w:p>
    <w:p>
      <w:pPr>
        <w:ind w:left="840" w:hanging="735"/>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840" w:hanging="735"/>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6008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-130810</wp:posOffset>
            </wp:positionV>
            <wp:extent cx="66008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-276225</wp:posOffset>
            </wp:positionV>
            <wp:extent cx="66008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undersigned acknowledges that the Securities Act and the rules and regulation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The undersigned acknowledges the undersigned’s obligation to comply, and agrees that it will comply, with the provisions of the Securities Exchange Act of 1934, as amended, and the rules and regulations thereunder, particularly Regulation M, in connection with any offering of Common Stock pursuant to the Registration Statement.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also hereby acknowledges and is advised of the following Compliance and Disclosure Interpretation (“CDI”) of the staff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 (with respect to Securities Act Sections) regarding short selling: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80"/>
        <w:spacing w:after="0" w:line="253" w:lineRule="auto"/>
        <w:rPr>
          <w:sz w:val="20"/>
          <w:szCs w:val="20"/>
          <w:color w:val="auto"/>
        </w:rPr>
      </w:pPr>
      <w:r>
        <w:rPr>
          <w:rFonts w:ascii="Times New Roman" w:cs="Times New Roman" w:eastAsia="Times New Roman" w:hAnsi="Times New Roman"/>
          <w:sz w:val="18"/>
          <w:szCs w:val="18"/>
          <w:color w:val="auto"/>
        </w:rPr>
        <w:t>“239.10 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becomes effective, because the shares underlying the short sale are deemed to be sold at the time such sale is made. There would, therefore, be a violation of Section 5 if the shares were effectively sold prior to the effective date. [Nov. 26, 2008]”  </w:t>
      </w:r>
    </w:p>
    <w:p>
      <w:pPr>
        <w:spacing w:after="0" w:line="2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undersigned further acknowledges that the foregoing CDI applies to the shares of Common Stock to be registered for resale on behalf of the undersigned pursuant to the Registration Statement and to be covered by the related prospectus.  </w:t>
      </w:r>
    </w:p>
    <w:p>
      <w:pPr>
        <w:spacing w:after="0" w:line="20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Beneficial Owner:</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880" w:type="dxa"/>
            <w:vAlign w:val="bottom"/>
            <w:tcBorders>
              <w:top w:val="single" w:sz="8" w:color="auto"/>
            </w:tcBorders>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  </w:t>
            </w:r>
          </w:p>
        </w:tc>
        <w:tc>
          <w:tcPr>
            <w:tcW w:w="404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20" w:type="dxa"/>
            <w:vAlign w:val="bottom"/>
            <w:gridSpan w:val="2"/>
          </w:tcPr>
          <w:p>
            <w:pPr>
              <w:ind w:left="48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Page 21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60"/>
      </w:cols>
      <w:pgMar w:left="320" w:top="2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4"/>
    </w:lvl>
  </w:abstractNum>
  <w:abstractNum w:abstractNumId="2">
    <w:nsid w:val="836C40E"/>
    <w:multiLevelType w:val="hybridMultilevel"/>
    <w:lvl w:ilvl="0">
      <w:lvlJc w:val="left"/>
      <w:lvlText w:val="(%1)"/>
      <w:numFmt w:val="lowerRoman"/>
      <w:start w:val="1"/>
    </w:lvl>
  </w:abstractNum>
  <w:abstractNum w:abstractNumId="3">
    <w:nsid w:val="2901D82"/>
    <w:multiLevelType w:val="hybridMultilevel"/>
    <w:lvl w:ilvl="0">
      <w:lvlJc w:val="left"/>
      <w:lvlText w:val="(%1)"/>
      <w:numFmt w:val="lowerRoman"/>
      <w:start w:val="2"/>
    </w:lvl>
  </w:abstractNum>
  <w:abstractNum w:abstractNumId="4">
    <w:nsid w:val="3A95F874"/>
    <w:multiLevelType w:val="hybridMultilevel"/>
    <w:lvl w:ilvl="0">
      <w:lvlJc w:val="left"/>
      <w:lvlText w:val="(%1)"/>
      <w:numFmt w:val="lowerRoman"/>
      <w:start w:val="3"/>
    </w:lvl>
  </w:abstractNum>
  <w:abstractNum w:abstractNumId="5">
    <w:nsid w:val="8138641"/>
    <w:multiLevelType w:val="hybridMultilevel"/>
    <w:lvl w:ilvl="0">
      <w:lvlJc w:val="left"/>
      <w:lvlText w:val="(%1)"/>
      <w:numFmt w:val="lowerRoman"/>
      <w:start w:val="4"/>
    </w:lvl>
  </w:abstractNum>
  <w:abstractNum w:abstractNumId="6">
    <w:nsid w:val="1E7FF521"/>
    <w:multiLevelType w:val="hybridMultilevel"/>
    <w:lvl w:ilvl="0">
      <w:lvlJc w:val="left"/>
      <w:lvlText w:val="(%1)"/>
      <w:numFmt w:val="lowerRoman"/>
      <w:start w:val="1"/>
    </w:lvl>
  </w:abstractNum>
  <w:abstractNum w:abstractNumId="7">
    <w:nsid w:val="7C3DBD3D"/>
    <w:multiLevelType w:val="hybridMultilevel"/>
    <w:lvl w:ilvl="0">
      <w:lvlJc w:val="left"/>
      <w:lvlText w:val="(%1)"/>
      <w:numFmt w:val="lowerRoman"/>
      <w:start w:val="1"/>
    </w:lvl>
  </w:abstractNum>
  <w:abstractNum w:abstractNumId="8">
    <w:nsid w:val="737B8DDC"/>
    <w:multiLevelType w:val="hybridMultilevel"/>
    <w:lvl w:ilvl="0">
      <w:lvlJc w:val="left"/>
      <w:lvlText w:val="(%1)"/>
      <w:numFmt w:val="lowerRoman"/>
      <w:start w:val="2"/>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Roman"/>
      <w:start w:val="5"/>
    </w:lvl>
  </w:abstractNum>
  <w:abstractNum w:abstractNumId="12">
    <w:nsid w:val="3006C83E"/>
    <w:multiLevelType w:val="hybridMultilevel"/>
    <w:lvl w:ilvl="0">
      <w:lvlJc w:val="left"/>
      <w:lvlText w:val="(%1)"/>
      <w:numFmt w:val="lowerRoman"/>
      <w:start w:val="3"/>
    </w:lvl>
  </w:abstractNum>
  <w:abstractNum w:abstractNumId="13">
    <w:nsid w:val="614FD4A1"/>
    <w:multiLevelType w:val="hybridMultilevel"/>
    <w:lvl w:ilvl="0">
      <w:lvlJc w:val="left"/>
      <w:lvlText w:val="(%1)"/>
      <w:numFmt w:val="lowerRoman"/>
      <w:start w:val="3"/>
    </w:lvl>
  </w:abstractNum>
  <w:abstractNum w:abstractNumId="14">
    <w:nsid w:val="419AC241"/>
    <w:multiLevelType w:val="hybridMultilevel"/>
    <w:lvl w:ilvl="0">
      <w:lvlJc w:val="left"/>
      <w:lvlText w:val="(%1)"/>
      <w:numFmt w:val="lowerLetter"/>
      <w:start w:val="26"/>
    </w:lvl>
  </w:abstractNum>
  <w:abstractNum w:abstractNumId="15">
    <w:nsid w:val="5577F8E1"/>
    <w:multiLevelType w:val="hybridMultilevel"/>
    <w:lvl w:ilvl="0">
      <w:lvlJc w:val="left"/>
      <w:lvlText w:val="(%1)"/>
      <w:numFmt w:val="lowerRoman"/>
      <w:start w:val="2"/>
    </w:lvl>
  </w:abstractNum>
  <w:abstractNum w:abstractNumId="16">
    <w:nsid w:val="440BADFC"/>
    <w:multiLevelType w:val="hybridMultilevel"/>
    <w:lvl w:ilvl="0">
      <w:lvlJc w:val="left"/>
      <w:lvlText w:val="%1."/>
      <w:numFmt w:val="decimal"/>
      <w:start w:val="4"/>
    </w:lvl>
  </w:abstractNum>
  <w:abstractNum w:abstractNumId="17">
    <w:nsid w:val="5072367"/>
    <w:multiLevelType w:val="hybridMultilevel"/>
    <w:lvl w:ilvl="0">
      <w:lvlJc w:val="left"/>
      <w:lvlText w:val="(%1)"/>
      <w:numFmt w:val="decimal"/>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lowerLetter"/>
      <w:start w:val="26"/>
    </w:lvl>
  </w:abstractNum>
  <w:abstractNum w:abstractNumId="20">
    <w:nsid w:val="7724C67E"/>
    <w:multiLevelType w:val="hybridMultilevel"/>
    <w:lvl w:ilvl="0">
      <w:lvlJc w:val="left"/>
      <w:lvlText w:val="%1."/>
      <w:numFmt w:val="decimal"/>
      <w:start w:val="2"/>
    </w:lvl>
    <w:lvl w:ilvl="1">
      <w:lvlJc w:val="left"/>
      <w:lvlText w:val="(%2)"/>
      <w:numFmt w:val="lowerLetter"/>
      <w:start w:val="1"/>
    </w:lvl>
  </w:abstractNum>
  <w:abstractNum w:abstractNumId="21">
    <w:nsid w:val="5C482A97"/>
    <w:multiLevelType w:val="hybridMultilevel"/>
    <w:lvl w:ilvl="0">
      <w:lvlJc w:val="left"/>
      <w:lvlText w:val="%1"/>
      <w:numFmt w:val="decimal"/>
      <w:start w:val="1"/>
    </w:lvl>
    <w:lvl w:ilvl="1">
      <w:lvlJc w:val="left"/>
      <w:lvlText w:val="(%2)"/>
      <w:numFmt w:val="lowerLetter"/>
      <w:start w:val="4"/>
    </w:lvl>
  </w:abstractNum>
  <w:abstractNum w:abstractNumId="22">
    <w:nsid w:val="2463B9EA"/>
    <w:multiLevelType w:val="hybridMultilevel"/>
    <w:lvl w:ilvl="0">
      <w:lvlJc w:val="left"/>
      <w:lvlText w:val="(%1)"/>
      <w:numFmt w:val="decimal"/>
      <w:start w:val="25"/>
    </w:lvl>
    <w:lvl w:ilvl="1">
      <w:lvlJc w:val="left"/>
      <w:lvlText w:val="(%2)"/>
      <w:numFmt w:val="lowerLetter"/>
      <w:start w:val="5"/>
    </w:lvl>
  </w:abstractNum>
  <w:abstractNum w:abstractNumId="23">
    <w:nsid w:val="5E884ADC"/>
    <w:multiLevelType w:val="hybridMultilevel"/>
    <w:lvl w:ilvl="0">
      <w:lvlJc w:val="left"/>
      <w:lvlText w:val="%1"/>
      <w:numFmt w:val="decimal"/>
      <w:start w:val="1"/>
    </w:lvl>
    <w:lvl w:ilvl="1">
      <w:lvlJc w:val="left"/>
      <w:lvlText w:val="(%2)"/>
      <w:numFmt w:val="lowerLetter"/>
      <w:start w:val="6"/>
    </w:lvl>
  </w:abstractNum>
  <w:abstractNum w:abstractNumId="24">
    <w:nsid w:val="51EAD36B"/>
    <w:multiLevelType w:val="hybridMultilevel"/>
    <w:lvl w:ilvl="0">
      <w:lvlJc w:val="left"/>
      <w:lvlText w:val="%1."/>
      <w:numFmt w:val="decimal"/>
      <w:start w:val="3"/>
    </w:lvl>
    <w:lvl w:ilvl="1">
      <w:lvlJc w:val="left"/>
      <w:lvlText w:val="%2"/>
      <w:numFmt w:val="lowerLetter"/>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3"/>
    </w:lvl>
  </w:abstractNum>
  <w:abstractNum w:abstractNumId="27">
    <w:nsid w:val="153EA438"/>
    <w:multiLevelType w:val="hybridMultilevel"/>
    <w:lvl w:ilvl="0">
      <w:lvlJc w:val="left"/>
      <w:lvlText w:val="%1"/>
      <w:numFmt w:val="lowerLetter"/>
      <w:start w:val="1"/>
    </w:lvl>
    <w:lvl w:ilvl="1">
      <w:lvlJc w:val="left"/>
      <w:lvlText w:val="(%2)"/>
      <w:numFmt w:val="lowerLetter"/>
      <w:start w:val="5"/>
    </w:lvl>
  </w:abstractNum>
  <w:abstractNum w:abstractNumId="28">
    <w:nsid w:val="3855585C"/>
    <w:multiLevelType w:val="hybridMultilevel"/>
    <w:lvl w:ilvl="0">
      <w:lvlJc w:val="left"/>
      <w:lvlText w:val="(%1)"/>
      <w:numFmt w:val="lowerLetter"/>
      <w:start w:val="10"/>
    </w:lvl>
    <w:lvl w:ilvl="1">
      <w:lvlJc w:val="left"/>
      <w:lvlText w:val="%2"/>
      <w:numFmt w:val="lowerLetter"/>
      <w:start w:val="1"/>
    </w:lvl>
  </w:abstractNum>
  <w:abstractNum w:abstractNumId="29">
    <w:nsid w:val="70A64E2A"/>
    <w:multiLevelType w:val="hybridMultilevel"/>
    <w:lvl w:ilvl="0">
      <w:lvlJc w:val="left"/>
      <w:lvlText w:val="%1"/>
      <w:numFmt w:val="decimal"/>
      <w:start w:val="1"/>
    </w:lvl>
    <w:lvl w:ilvl="1">
      <w:lvlJc w:val="left"/>
      <w:lvlText w:val="(%2)"/>
      <w:numFmt w:val="lowerLetter"/>
      <w:start w:val="11"/>
    </w:lvl>
  </w:abstractNum>
  <w:abstractNum w:abstractNumId="30">
    <w:nsid w:val="6A2342EC"/>
    <w:multiLevelType w:val="hybridMultilevel"/>
    <w:lvl w:ilvl="0">
      <w:lvlJc w:val="left"/>
      <w:lvlText w:val="%1."/>
      <w:numFmt w:val="decimal"/>
      <w:start w:val="4"/>
    </w:lvl>
    <w:lvl w:ilvl="1">
      <w:lvlJc w:val="left"/>
      <w:lvlText w:val="%2"/>
      <w:numFmt w:val="lowerLetter"/>
      <w:start w:val="1"/>
    </w:lvl>
  </w:abstractNum>
  <w:abstractNum w:abstractNumId="31">
    <w:nsid w:val="2A487CB0"/>
    <w:multiLevelType w:val="hybridMultilevel"/>
    <w:lvl w:ilvl="0">
      <w:lvlJc w:val="left"/>
      <w:lvlText w:val="%1."/>
      <w:numFmt w:val="decimal"/>
      <w:start w:val="5"/>
    </w:lvl>
    <w:lvl w:ilvl="1">
      <w:lvlJc w:val="left"/>
      <w:lvlText w:val="(%2)"/>
      <w:numFmt w:val="lowerLetter"/>
      <w:start w:val="1"/>
    </w:lvl>
  </w:abstractNum>
  <w:abstractNum w:abstractNumId="32">
    <w:nsid w:val="1D4ED43B"/>
    <w:multiLevelType w:val="hybridMultilevel"/>
    <w:lvl w:ilvl="0">
      <w:lvlJc w:val="left"/>
      <w:lvlText w:val="(%1)"/>
      <w:numFmt w:val="lowerLetter"/>
      <w:start w:val="3"/>
    </w:lvl>
  </w:abstractNum>
  <w:abstractNum w:abstractNumId="33">
    <w:nsid w:val="725A06FB"/>
    <w:multiLevelType w:val="hybridMultilevel"/>
    <w:lvl w:ilvl="0">
      <w:lvlJc w:val="left"/>
      <w:lvlText w:val="%1."/>
      <w:numFmt w:val="decimal"/>
      <w:start w:val="6"/>
    </w:lvl>
    <w:lvl w:ilvl="1">
      <w:lvlJc w:val="left"/>
      <w:lvlText w:val="(%2)"/>
      <w:numFmt w:val="lowerLetter"/>
      <w:start w:val="1"/>
    </w:lvl>
  </w:abstractNum>
  <w:abstractNum w:abstractNumId="34">
    <w:nsid w:val="2CD89A32"/>
    <w:multiLevelType w:val="hybridMultilevel"/>
    <w:lvl w:ilvl="0">
      <w:lvlJc w:val="left"/>
      <w:lvlText w:val="(%1)"/>
      <w:numFmt w:val="lowerLetter"/>
      <w:start w:val="5"/>
    </w:lvl>
  </w:abstractNum>
  <w:abstractNum w:abstractNumId="35">
    <w:nsid w:val="57E4CCAF"/>
    <w:multiLevelType w:val="hybridMultilevel"/>
    <w:lvl w:ilvl="0">
      <w:lvlJc w:val="left"/>
      <w:lvlText w:val="(%1)"/>
      <w:numFmt w:val="lowerLetter"/>
      <w:start w:val="11"/>
    </w:lvl>
  </w:abstractNum>
  <w:abstractNum w:abstractNumId="36">
    <w:nsid w:val="7A6D8D3C"/>
    <w:multiLevelType w:val="hybridMultilevel"/>
    <w:lvl w:ilvl="0">
      <w:lvlJc w:val="left"/>
      <w:lvlText w:val="(%1)"/>
      <w:numFmt w:val="lowerLetter"/>
      <w:start w:val="13"/>
    </w:lvl>
  </w:abstractNum>
  <w:abstractNum w:abstractNumId="37">
    <w:nsid w:val="4B588F54"/>
    <w:multiLevelType w:val="hybridMultilevel"/>
    <w:lvl w:ilvl="0">
      <w:lvlJc w:val="left"/>
      <w:lvlText w:val="(%1)"/>
      <w:numFmt w:val="lowerLetter"/>
      <w:start w:val="15"/>
    </w:lvl>
  </w:abstractNum>
  <w:abstractNum w:abstractNumId="38">
    <w:nsid w:val="542289EC"/>
    <w:multiLevelType w:val="hybridMultilevel"/>
    <w:lvl w:ilvl="0">
      <w:lvlJc w:val="left"/>
      <w:lvlText w:val=" "/>
      <w:numFmt w:val="bullet"/>
      <w:start w:val="1"/>
    </w:lvl>
  </w:abstractNum>
  <w:abstractNum w:abstractNumId="39">
    <w:nsid w:val="6DE91B18"/>
    <w:multiLevelType w:val="hybridMultilevel"/>
    <w:lvl w:ilvl="0">
      <w:lvlJc w:val="left"/>
      <w:lvlText w:val=" "/>
      <w:numFmt w:val="bullet"/>
      <w:start w:val="1"/>
    </w:lvl>
  </w:abstractNum>
  <w:abstractNum w:abstractNumId="40">
    <w:nsid w:val="38437FDB"/>
    <w:multiLevelType w:val="hybridMultilevel"/>
    <w:lvl w:ilvl="0">
      <w:lvlJc w:val="left"/>
      <w:lvlText w:val=" "/>
      <w:numFmt w:val="bullet"/>
      <w:start w:val="1"/>
    </w:lvl>
  </w:abstractNum>
  <w:abstractNum w:abstractNumId="41">
    <w:nsid w:val="7644A45C"/>
    <w:multiLevelType w:val="hybridMultilevel"/>
    <w:lvl w:ilvl="0">
      <w:lvlJc w:val="left"/>
      <w:lvlText w:val=" "/>
      <w:numFmt w:val="bullet"/>
      <w:start w:val="1"/>
    </w:lvl>
  </w:abstractNum>
  <w:abstractNum w:abstractNumId="42">
    <w:nsid w:val="32FFF902"/>
    <w:multiLevelType w:val="hybridMultilevel"/>
    <w:lvl w:ilvl="0">
      <w:lvlJc w:val="left"/>
      <w:lvlText w:val=" "/>
      <w:numFmt w:val="bullet"/>
      <w:start w:val="1"/>
    </w:lvl>
  </w:abstractNum>
  <w:abstractNum w:abstractNumId="43">
    <w:nsid w:val="684A481A"/>
    <w:multiLevelType w:val="hybridMultilevel"/>
    <w:lvl w:ilvl="0">
      <w:lvlJc w:val="left"/>
      <w:lvlText w:val=" "/>
      <w:numFmt w:val="bullet"/>
      <w:start w:val="1"/>
    </w:lvl>
  </w:abstractNum>
  <w:abstractNum w:abstractNumId="44">
    <w:nsid w:val="579478FE"/>
    <w:multiLevelType w:val="hybridMultilevel"/>
    <w:lvl w:ilvl="0">
      <w:lvlJc w:val="left"/>
      <w:lvlText w:val=" "/>
      <w:numFmt w:val="bullet"/>
      <w:start w:val="1"/>
    </w:lvl>
  </w:abstractNum>
  <w:abstractNum w:abstractNumId="45">
    <w:nsid w:val="749ABB43"/>
    <w:multiLevelType w:val="hybridMultilevel"/>
    <w:lvl w:ilvl="0">
      <w:lvlJc w:val="left"/>
      <w:lvlText w:val=" "/>
      <w:numFmt w:val="bullet"/>
      <w:start w:val="1"/>
    </w:lvl>
  </w:abstractNum>
  <w:abstractNum w:abstractNumId="46">
    <w:nsid w:val="3DC240FB"/>
    <w:multiLevelType w:val="hybridMultilevel"/>
    <w:lvl w:ilvl="0">
      <w:lvlJc w:val="left"/>
      <w:lvlText w:val=" "/>
      <w:numFmt w:val="bullet"/>
      <w:start w:val="1"/>
    </w:lvl>
  </w:abstractNum>
  <w:abstractNum w:abstractNumId="47">
    <w:nsid w:val="1BA026FA"/>
    <w:multiLevelType w:val="hybridMultilevel"/>
    <w:lvl w:ilvl="0">
      <w:lvlJc w:val="left"/>
      <w:lvlText w:val=" "/>
      <w:numFmt w:val="bullet"/>
      <w:start w:val="1"/>
    </w:lvl>
  </w:abstractNum>
  <w:abstractNum w:abstractNumId="48">
    <w:nsid w:val="79A1DEAA"/>
    <w:multiLevelType w:val="hybridMultilevel"/>
    <w:lvl w:ilvl="0">
      <w:lvlJc w:val="left"/>
      <w:lvlText w:val="%1."/>
      <w:numFmt w:val="decimal"/>
      <w:start w:val="1"/>
    </w:lvl>
    <w:lvl w:ilvl="1">
      <w:lvlJc w:val="left"/>
      <w:lvlText w:val="(%2)"/>
      <w:numFmt w:val="lowerLetter"/>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lowerLetter"/>
      <w:start w:val="2"/>
    </w:lvl>
  </w:abstractNum>
  <w:abstractNum w:abstractNumId="51">
    <w:nsid w:val="70C6A529"/>
    <w:multiLevelType w:val="hybridMultilevel"/>
    <w:lvl w:ilvl="0">
      <w:lvlJc w:val="left"/>
      <w:lvlText w:val="(%1)"/>
      <w:numFmt w:val="lowerLetter"/>
      <w:start w:val="4"/>
    </w:lvl>
  </w:abstractNum>
  <w:abstractNum w:abstractNumId="52">
    <w:nsid w:val="520EEDD1"/>
    <w:multiLevelType w:val="hybridMultilevel"/>
    <w:lvl w:ilvl="0">
      <w:lvlJc w:val="left"/>
      <w:lvlText w:val="%1."/>
      <w:numFmt w:val="decimal"/>
      <w:start w:val="4"/>
    </w:lvl>
  </w:abstractNum>
  <w:abstractNum w:abstractNumId="53">
    <w:nsid w:val="374A3FE6"/>
    <w:multiLevelType w:val="hybridMultilevel"/>
    <w:lvl w:ilvl="0">
      <w:lvlJc w:val="left"/>
      <w:lvlText w:val="%1."/>
      <w:numFmt w:val="decimal"/>
      <w:start w:val="5"/>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2026-07-01T15:18:10Z</dcterms:created>
  <dcterms:modified xsi:type="dcterms:W3CDTF">2026-07-01T15:18:10Z</dcterms:modified>
</cp:coreProperties>
</file>