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116840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Date of Report (Date of earliest event reported): July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168275</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NN, Inc.</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45085</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86" w:lineRule="exact"/>
        <w:rPr>
          <w:sz w:val="24"/>
          <w:szCs w:val="24"/>
          <w:color w:val="auto"/>
        </w:rPr>
      </w:pPr>
    </w:p>
    <w:tbl>
      <w:tblPr>
        <w:tblLayout w:type="fixed"/>
        <w:tblInd w:w="960" w:type="dxa"/>
        <w:tblCellMar>
          <w:top w:w="0" w:type="dxa"/>
          <w:left w:w="0" w:type="dxa"/>
          <w:bottom w:w="0" w:type="dxa"/>
          <w:right w:w="0" w:type="dxa"/>
        </w:tblCellMar>
      </w:tblPr>
      <w:tr>
        <w:trPr>
          <w:trHeight w:val="251"/>
        </w:trPr>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36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000-23486</w:t>
            </w:r>
          </w:p>
        </w:tc>
        <w:tc>
          <w:tcPr>
            <w:tcW w:w="140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0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5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0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48"/>
        </w:trPr>
        <w:tc>
          <w:tcPr>
            <w:tcW w:w="554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2"/>
              </w:rPr>
              <w:t>6210 Ardrey Kell Road, Suite 600</w:t>
            </w:r>
          </w:p>
        </w:tc>
        <w:tc>
          <w:tcPr>
            <w:tcW w:w="1400" w:type="dxa"/>
            <w:vAlign w:val="bottom"/>
          </w:tcPr>
          <w:p>
            <w:pPr>
              <w:spacing w:after="0"/>
              <w:rPr>
                <w:sz w:val="24"/>
                <w:szCs w:val="24"/>
                <w:color w:val="auto"/>
              </w:rPr>
            </w:pPr>
          </w:p>
        </w:tc>
      </w:tr>
      <w:tr>
        <w:trPr>
          <w:trHeight w:val="243"/>
        </w:trPr>
        <w:tc>
          <w:tcPr>
            <w:tcW w:w="554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40" w:type="dxa"/>
            <w:vAlign w:val="bottom"/>
            <w:gridSpan w:val="2"/>
          </w:tcPr>
          <w:p>
            <w:pPr>
              <w:jc w:val="center"/>
              <w:ind w:right="163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0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0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i w:val="1"/>
                <w:iCs w:val="1"/>
                <w:color w:val="auto"/>
                <w:w w:val="96"/>
              </w:rPr>
              <w:t>(Registrant’s telephone number, including area code)</w:t>
            </w:r>
          </w:p>
        </w:tc>
        <w:tc>
          <w:tcPr>
            <w:tcW w:w="1400" w:type="dxa"/>
            <w:vAlign w:val="bottom"/>
          </w:tcPr>
          <w:p>
            <w:pPr>
              <w:spacing w:after="0"/>
              <w:rPr>
                <w:sz w:val="17"/>
                <w:szCs w:val="17"/>
                <w:color w:val="auto"/>
              </w:rPr>
            </w:pPr>
          </w:p>
        </w:tc>
      </w:tr>
    </w:tbl>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40640</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40" w:lineRule="exact"/>
        <w:rPr>
          <w:sz w:val="24"/>
          <w:szCs w:val="24"/>
          <w:color w:val="auto"/>
        </w:rPr>
      </w:pPr>
    </w:p>
    <w:p>
      <w:pPr>
        <w:ind w:right="280"/>
        <w:spacing w:after="0" w:line="235"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01"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20"/>
          </w:cols>
          <w:pgMar w:left="1340" w:top="1295" w:right="1439" w:bottom="1440" w:gutter="0" w:footer="0" w:header="0"/>
        </w:sectPr>
      </w:pPr>
    </w:p>
    <w:p>
      <w:pPr>
        <w:spacing w:after="0" w:line="59" w:lineRule="exact"/>
        <w:rPr>
          <w:sz w:val="24"/>
          <w:szCs w:val="24"/>
          <w:color w:val="auto"/>
        </w:rPr>
      </w:pPr>
    </w:p>
    <w:p>
      <w:pPr>
        <w:ind w:left="122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40" w:space="720"/>
            <w:col w:w="1320" w:space="720"/>
            <w:col w:w="2920"/>
          </w:cols>
          <w:pgMar w:left="1340" w:top="1295" w:right="1439" w:bottom="1440" w:gutter="0" w:footer="0" w:header="0"/>
          <w:type w:val="continuous"/>
        </w:sectPr>
      </w:pPr>
    </w:p>
    <w:p>
      <w:pPr>
        <w:ind w:left="76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80" w:space="720"/>
            <w:col w:w="1380" w:space="720"/>
            <w:col w:w="2620"/>
          </w:cols>
          <w:pgMar w:left="1340" w:top="1295" w:right="1439" w:bottom="1440" w:gutter="0" w:footer="0" w:header="0"/>
          <w:type w:val="continuous"/>
        </w:sectPr>
      </w:pPr>
    </w:p>
    <w:p>
      <w:pPr>
        <w:spacing w:after="0" w:line="239" w:lineRule="exact"/>
        <w:rPr>
          <w:sz w:val="24"/>
          <w:szCs w:val="24"/>
          <w:color w:val="auto"/>
        </w:rPr>
      </w:pPr>
    </w:p>
    <w:p>
      <w:pPr>
        <w:ind w:right="80"/>
        <w:spacing w:after="0" w:line="26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w:t>
      </w:r>
    </w:p>
    <w:p>
      <w:pPr>
        <w:spacing w:after="0" w:line="21" w:lineRule="exact"/>
        <w:rPr>
          <w:sz w:val="24"/>
          <w:szCs w:val="24"/>
          <w:color w:val="auto"/>
        </w:rPr>
      </w:pPr>
    </w:p>
    <w:p>
      <w:pPr>
        <w:ind w:right="320"/>
        <w:spacing w:after="0" w:line="209" w:lineRule="exact"/>
        <w:rPr>
          <w:sz w:val="20"/>
          <w:szCs w:val="20"/>
          <w:color w:val="auto"/>
        </w:rPr>
      </w:pPr>
      <w:r>
        <w:rPr>
          <w:rFonts w:ascii="Arial" w:cs="Arial" w:eastAsia="Arial" w:hAnsi="Arial"/>
          <w:sz w:val="18"/>
          <w:szCs w:val="18"/>
          <w:color w:val="auto"/>
        </w:rPr>
        <w:t xml:space="preserve">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741045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616585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20"/>
          </w:cols>
          <w:pgMar w:left="1340" w:top="1295" w:right="1439" w:bottom="1440" w:gutter="0" w:footer="0" w:header="0"/>
          <w:type w:val="continuous"/>
        </w:sectPr>
      </w:pPr>
    </w:p>
    <w:bookmarkStart w:id="1" w:name="page2"/>
    <w:bookmarkEnd w:id="1"/>
    <w:p>
      <w:pPr>
        <w:ind w:left="1020" w:right="540" w:hanging="129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4"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In connection with the decision of the Board of Directors (the “Board”) of NN, Inc. (the “Company”) to reduce the Board’s size from nine to seven members, on July 12, 2023, each of Robert E. Brunner and Shihab Kuran, Ph.D. notified the Board of his decision to retire from, and resign as a member of the Board and any and all committees of the Board, effective August 23, 2023. Neither Mr. Brunner’s nor Mr. Kuran’s decision to retire is a result of any disagreement with the Company on any matter relating to the Company’s operations, policies, or practices.</w:t>
      </w:r>
    </w:p>
    <w:p>
      <w:pPr>
        <w:spacing w:after="0" w:line="6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After acceptance of the resignations of Mr. Brunner and Dr. Kuran, the Board made the planned reduction in the size of the Board effective as of August 23, 2023.</w:t>
      </w:r>
    </w:p>
    <w:p>
      <w:pPr>
        <w:spacing w:after="0" w:line="200" w:lineRule="exact"/>
        <w:rPr>
          <w:sz w:val="20"/>
          <w:szCs w:val="20"/>
          <w:color w:val="auto"/>
        </w:rPr>
      </w:pPr>
    </w:p>
    <w:p>
      <w:pPr>
        <w:spacing w:after="0" w:line="20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6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July 12, 2023, the Company issued a press release announcing the changes to the Board, as described under Item 5.02 above. A copy of the press release is furnished as Exhibit 99.1 to this Current Report on Form 8-K.</w:t>
      </w:r>
    </w:p>
    <w:p>
      <w:pPr>
        <w:spacing w:after="0" w:line="6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information, including the press releases,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200" w:lineRule="exact"/>
        <w:rPr>
          <w:sz w:val="20"/>
          <w:szCs w:val="20"/>
          <w:color w:val="auto"/>
        </w:rPr>
      </w:pP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gridSpan w:val="4"/>
          </w:tcPr>
          <w:p>
            <w:pPr>
              <w:jc w:val="center"/>
              <w:ind w:left="56"/>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0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No.</w:t>
            </w:r>
          </w:p>
        </w:tc>
        <w:tc>
          <w:tcPr>
            <w:tcW w:w="1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9"/>
                <w:szCs w:val="19"/>
                <w:color w:val="auto"/>
              </w:rPr>
            </w:pPr>
          </w:p>
        </w:tc>
        <w:tc>
          <w:tcPr>
            <w:tcW w:w="38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Press Release issued by NN, Inc., dated July 12, 2023</w:t>
            </w:r>
          </w:p>
        </w:tc>
        <w:tc>
          <w:tcPr>
            <w:tcW w:w="6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1"/>
                <w:szCs w:val="21"/>
                <w:color w:val="auto"/>
              </w:rPr>
            </w:pPr>
          </w:p>
        </w:tc>
        <w:tc>
          <w:tcPr>
            <w:tcW w:w="102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30"/>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July 12, 2023</w:t>
      </w:r>
    </w:p>
    <w:p>
      <w:pPr>
        <w:spacing w:after="0" w:line="200" w:lineRule="exact"/>
        <w:rPr>
          <w:sz w:val="20"/>
          <w:szCs w:val="20"/>
          <w:color w:val="auto"/>
        </w:rPr>
      </w:pPr>
    </w:p>
    <w:p>
      <w:pPr>
        <w:spacing w:after="0" w:line="278" w:lineRule="exact"/>
        <w:rPr>
          <w:sz w:val="20"/>
          <w:szCs w:val="20"/>
          <w:color w:val="auto"/>
        </w:rPr>
      </w:pPr>
    </w:p>
    <w:tbl>
      <w:tblPr>
        <w:tblLayout w:type="fixed"/>
        <w:tblInd w:w="44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00" w:type="dxa"/>
            <w:vAlign w:val="bottom"/>
          </w:tcPr>
          <w:p>
            <w:pPr>
              <w:spacing w:after="0"/>
              <w:rPr>
                <w:sz w:val="20"/>
                <w:szCs w:val="20"/>
                <w:color w:val="auto"/>
              </w:rPr>
            </w:pPr>
          </w:p>
        </w:tc>
      </w:tr>
      <w:tr>
        <w:trPr>
          <w:trHeight w:val="51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C. Felcher</w:t>
            </w: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
              <w:spacing w:after="0"/>
              <w:rPr>
                <w:sz w:val="20"/>
                <w:szCs w:val="20"/>
                <w:color w:val="auto"/>
              </w:rPr>
            </w:pPr>
            <w:r>
              <w:rPr>
                <w:rFonts w:ascii="Arial" w:cs="Arial" w:eastAsia="Arial" w:hAnsi="Arial"/>
                <w:sz w:val="18"/>
                <w:szCs w:val="18"/>
                <w:color w:val="auto"/>
              </w:rPr>
              <w:t>Michael C. Felcher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bl>
    <w:p>
      <w:pPr>
        <w:sectPr>
          <w:pgSz w:w="11900" w:h="16838" w:orient="portrait"/>
          <w:cols w:equalWidth="0" w:num="1">
            <w:col w:w="9220"/>
          </w:cols>
          <w:pgMar w:left="1340" w:top="891" w:right="1339" w:bottom="1440" w:gutter="0" w:footer="0" w:header="0"/>
        </w:sectPr>
      </w:pPr>
    </w:p>
    <w:bookmarkStart w:id="3" w:name="page4"/>
    <w:bookmarkEnd w:id="3"/>
    <w:p>
      <w:pPr>
        <w:ind w:left="1000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520065</wp:posOffset>
            </wp:positionV>
            <wp:extent cx="1285875" cy="1259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125984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836930</wp:posOffset>
            </wp:positionV>
            <wp:extent cx="192913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91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 Suite 600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Charlote, NC 28277</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NN, INC. ANNOUNCES PLAN TO REDUCE BOARD SIZE FROM NINE TO SEVEN MEMBERS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Early retrement of two directors aligns with governance best practces and reduces go-forward corporate expenses</w:t>
      </w:r>
    </w:p>
    <w:p>
      <w:pPr>
        <w:spacing w:after="0" w:line="283" w:lineRule="exact"/>
        <w:rPr>
          <w:sz w:val="20"/>
          <w:szCs w:val="20"/>
          <w:color w:val="auto"/>
        </w:rPr>
      </w:pPr>
    </w:p>
    <w:p>
      <w:pPr>
        <w:jc w:val="both"/>
        <w:spacing w:after="0" w:line="319" w:lineRule="auto"/>
        <w:rPr>
          <w:sz w:val="20"/>
          <w:szCs w:val="20"/>
          <w:color w:val="auto"/>
        </w:rPr>
      </w:pPr>
      <w:r>
        <w:rPr>
          <w:rFonts w:ascii="Arial" w:cs="Arial" w:eastAsia="Arial" w:hAnsi="Arial"/>
          <w:sz w:val="18"/>
          <w:szCs w:val="18"/>
          <w:b w:val="1"/>
          <w:bCs w:val="1"/>
          <w:color w:val="auto"/>
        </w:rPr>
        <w:t xml:space="preserve">CHARLOTTE, N.C., July 12, 2023 </w:t>
      </w:r>
      <w:r>
        <w:rPr>
          <w:rFonts w:ascii="Arial" w:cs="Arial" w:eastAsia="Arial" w:hAnsi="Arial"/>
          <w:sz w:val="18"/>
          <w:szCs w:val="18"/>
          <w:color w:val="auto"/>
        </w:rPr>
        <w:t>– NN, Inc. (NASDAQ: NNBR), a global diversifed industrial company that manufactures high-precision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 and assemblies, today announced that as a part of its ongoing review of governance policies and commitment to operatng consistently with best practces in corporate governance, its Board of Directors has decided to reduce the Board’s size from nine to seven members. As a result, independent directors Shihab Kuran and Robert E. Brunner ofered to and will retre, efectve August 23, 2023.</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Jeri Harman, Chairman of the Board of NN, commented, “As we benchmarked companies of similar-size and in our industry, we recognized the opportunity to enhance the efciency of our board by reducing the size of our directorship. The smaller, more efcient Board will also reduce corporate costs while maintaining the independence and experience needed to guide our management team and drive value creaton for the Company’s shareholders.”</w:t>
      </w:r>
    </w:p>
    <w:p>
      <w:pPr>
        <w:spacing w:after="0" w:line="22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Mr. Brunner remarked, “Shihab and I, as a mater of good governance, fully agree with the decision to reduce the size of NN’s board. In an efort to maximize the benefts of this reducton, we decided to accelerate the tmeline of our retrement to the end of August, as opposed to waitng untl next year’s annual meetng. This has allowed us to complete our recent leadership transiton and ensure a smooth process. We appreciate the opportunity that each of us have had to contribute to NN over the years and we wish the best to the company going forward.”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Ms. Harman added, “Shihab and Bob’s contributons to NN have been signifcant during their respectve tenures. Their extensive experience in the electrical, renewable energy, automotve and advanced manufacturing industries has been instrumental in the development of our long-term strategy. We have relied on their expertse during tmes of signifcant transiton in our markets and our Company. On behalf of our Board of Directors and the entre Company, I want to thank both Shihab and Bob for their dedicaton and contributons to NN over the years, for their leadership in efectng these board changes and wish them both the very best.”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56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About NN, Inc.</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NN, Inc., a global diversifed industrial company, combines advanced engineering and producton capabilites with in-depth materials science expertse to design and manufacture high-precision components and assemblies for a variety of markets on a global basis. Informaton about the Company and its products is available on the internet at www.nninc.com.</w:t>
      </w:r>
    </w:p>
    <w:p>
      <w:pPr>
        <w:spacing w:after="0" w:line="149" w:lineRule="exact"/>
        <w:rPr>
          <w:sz w:val="20"/>
          <w:szCs w:val="20"/>
          <w:color w:val="auto"/>
        </w:rPr>
      </w:pPr>
    </w:p>
    <w:p>
      <w:pPr>
        <w:jc w:val="both"/>
        <w:spacing w:after="0" w:line="329" w:lineRule="auto"/>
        <w:rPr>
          <w:sz w:val="20"/>
          <w:szCs w:val="20"/>
          <w:color w:val="auto"/>
        </w:rPr>
      </w:pPr>
      <w:r>
        <w:rPr>
          <w:rFonts w:ascii="Arial" w:cs="Arial" w:eastAsia="Arial" w:hAnsi="Arial"/>
          <w:sz w:val="15"/>
          <w:szCs w:val="15"/>
          <w:i w:val="1"/>
          <w:iCs w:val="1"/>
          <w:color w:val="auto"/>
        </w:rPr>
        <w:t>Except for specifc historical informaton, many of the maters discussed in this press release may express or imply projectons of revenues or expenditures, statements of plans and objectves or future operatons or statements of future economic performance. These statements may discuss goals, intentons and expectatons as to future trends, plans, events, results of operatons or fnancial conditon, or state other informaton relatng to NN, Inc. based on current beliefs of management as well as assumptons made by, and informaton currently available to, management. Forward-looking statements generally will be accompanied by words such as “antcipate,” “believe,” “could,” “estmate,” “expect,” “forecast,” “guidance,” “intend,” “may,” “possible,” “potental,” “predict,” “project” or other similar words, phrases or expressions. Forward-looking statements involve a number of risks and uncertaintes that are outside of management’s control and that may cause actual results to be materially diferent from such forward-looking statements. Such factors include, among others, general economic conditons and economic conditons in the industrial sector; the impacts of pandemics, epidemics, disease outbreaks and other public health crises, including the COVID-19 pandemic, on our fnancial conditon, business operatons and liquidity; compettve infuences; risks that current customers will commence or increase captve producton; risks of capacity underutlizaton; quality issues; material changes in the costs and availability of raw materials; economic, social, politcal and geopolitcal instability, currency fuctuaton, and other risks of doing business outside of the United States; infatonary pressures and changes in the cost or availability of materials, supply chain shortages and disruptons, and the availability of labor; our dependence on certain major customers, some of whom are not partes to long-term agreements (and/or are terminable on short notce); the impact of acquisitons and divesttures; our ability to hire or retain key personnel; the level of our indebtedness; the restrictons contained in our debt agreements; our ability to obtain fnancing at favorable rates, if at all, and to refnance existng debt as it matures; unantcipated difcultes integratng acquisitons; new laws and governmental regulatons; the impact of climate change on our operatons; and cyber liability or potental liability for breaches of our or our service providers’ informaton technology systems or business operatons disruptons. The foregoing factors should not be construed as exhaustve and should be read in conjuncton with the sectons enttled “Risk Factors” and “Management’s Discussion and Analysis of Financial Conditon and Results of Operatons” included in the Company’s flings made with the Securites and Exchange Commission. Any forward-looking statement speaks only as of the date of this press release, and the Company undertakes no obligaton to publicly update or review any forward-looking statement, whether as a result of new informaton, future developments or otherwise, except as required by law. New risks and uncertaintes may emerge from tme to tme, and it is not possible for the Company to predict their occurrence or how they will afect the Company. The Company qualifes all forward-looking statements by these cautonary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&amp; Media Contacts: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Joe Caminit or Alec Steinberg, Investors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Tim Peters, Media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NNBR@alpha-ir.com</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312-445-2870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0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2023-07-12T15:17:27Z</dcterms:created>
  <dcterms:modified xsi:type="dcterms:W3CDTF">2023-07-12T15:17:27Z</dcterms:modified>
</cp:coreProperties>
</file>