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403860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36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2"/>
          </w:tcPr>
          <w:p>
            <w:pPr>
              <w:jc w:val="right"/>
              <w:ind w:right="344"/>
              <w:spacing w:after="0"/>
              <w:rPr>
                <w:sz w:val="20"/>
                <w:szCs w:val="20"/>
                <w:color w:val="auto"/>
              </w:rPr>
            </w:pPr>
            <w:r>
              <w:rPr>
                <w:rFonts w:ascii="Arial" w:cs="Arial" w:eastAsia="Arial" w:hAnsi="Arial"/>
                <w:sz w:val="18"/>
                <w:szCs w:val="18"/>
                <w:b w:val="1"/>
                <w:bCs w:val="1"/>
                <w:color w:val="auto"/>
              </w:rPr>
              <w:t>62-1096725</w:t>
            </w:r>
          </w:p>
        </w:tc>
        <w:tc>
          <w:tcPr>
            <w:tcW w:w="360" w:type="dxa"/>
            <w:vAlign w:val="bottom"/>
          </w:tcPr>
          <w:p>
            <w:pPr>
              <w:spacing w:after="0"/>
              <w:rPr>
                <w:sz w:val="18"/>
                <w:szCs w:val="18"/>
                <w:color w:val="auto"/>
              </w:rPr>
            </w:pPr>
          </w:p>
        </w:tc>
      </w:tr>
      <w:tr>
        <w:trPr>
          <w:trHeight w:val="148"/>
        </w:trPr>
        <w:tc>
          <w:tcPr>
            <w:tcW w:w="4060" w:type="dxa"/>
            <w:vAlign w:val="bottom"/>
            <w:gridSpan w:val="3"/>
          </w:tcPr>
          <w:p>
            <w:pPr>
              <w:jc w:val="center"/>
              <w:ind w:right="1450"/>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900" w:type="dxa"/>
            <w:vAlign w:val="bottom"/>
          </w:tcPr>
          <w:p>
            <w:pPr>
              <w:spacing w:after="0"/>
              <w:rPr>
                <w:sz w:val="12"/>
                <w:szCs w:val="12"/>
                <w:color w:val="auto"/>
              </w:rPr>
            </w:pPr>
          </w:p>
        </w:tc>
        <w:tc>
          <w:tcPr>
            <w:tcW w:w="208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0" w:type="dxa"/>
            <w:vAlign w:val="bottom"/>
          </w:tcPr>
          <w:p>
            <w:pPr>
              <w:spacing w:after="0"/>
              <w:rPr>
                <w:sz w:val="16"/>
                <w:szCs w:val="16"/>
                <w:color w:val="auto"/>
              </w:rPr>
            </w:pPr>
          </w:p>
        </w:tc>
        <w:tc>
          <w:tcPr>
            <w:tcW w:w="3360" w:type="dxa"/>
            <w:vAlign w:val="bottom"/>
            <w:gridSpan w:val="2"/>
          </w:tcPr>
          <w:p>
            <w:pPr>
              <w:jc w:val="center"/>
              <w:ind w:right="2150"/>
              <w:spacing w:after="0"/>
              <w:rPr>
                <w:sz w:val="20"/>
                <w:szCs w:val="20"/>
                <w:color w:val="auto"/>
              </w:rPr>
            </w:pPr>
            <w:r>
              <w:rPr>
                <w:rFonts w:ascii="Arial" w:cs="Arial" w:eastAsia="Arial" w:hAnsi="Arial"/>
                <w:sz w:val="14"/>
                <w:szCs w:val="14"/>
                <w:b w:val="1"/>
                <w:bCs w:val="1"/>
                <w:color w:val="auto"/>
                <w:w w:val="96"/>
              </w:rPr>
              <w:t>of Incorporation)</w:t>
            </w:r>
          </w:p>
        </w:tc>
        <w:tc>
          <w:tcPr>
            <w:tcW w:w="190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6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3"/>
              </w:rPr>
              <w:t>6210 Ardrey Kell Road</w:t>
            </w: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5"/>
        </w:trPr>
        <w:tc>
          <w:tcPr>
            <w:tcW w:w="4060" w:type="dxa"/>
            <w:vAlign w:val="bottom"/>
            <w:gridSpan w:val="3"/>
          </w:tcPr>
          <w:p>
            <w:pPr>
              <w:jc w:val="center"/>
              <w:ind w:right="1450"/>
              <w:spacing w:after="0"/>
              <w:rPr>
                <w:sz w:val="20"/>
                <w:szCs w:val="20"/>
                <w:color w:val="auto"/>
              </w:rPr>
            </w:pPr>
            <w:r>
              <w:rPr>
                <w:rFonts w:ascii="Arial" w:cs="Arial" w:eastAsia="Arial" w:hAnsi="Arial"/>
                <w:sz w:val="18"/>
                <w:szCs w:val="18"/>
                <w:b w:val="1"/>
                <w:bCs w:val="1"/>
                <w:color w:val="auto"/>
                <w:w w:val="93"/>
              </w:rPr>
              <w:t>Charlotte, North Carolina</w:t>
            </w:r>
          </w:p>
        </w:tc>
        <w:tc>
          <w:tcPr>
            <w:tcW w:w="3620" w:type="dxa"/>
            <w:vAlign w:val="bottom"/>
            <w:gridSpan w:val="2"/>
          </w:tcPr>
          <w:p>
            <w:pPr>
              <w:jc w:val="right"/>
              <w:ind w:right="564"/>
              <w:spacing w:after="0"/>
              <w:rPr>
                <w:sz w:val="20"/>
                <w:szCs w:val="20"/>
                <w:color w:val="auto"/>
              </w:rPr>
            </w:pPr>
            <w:r>
              <w:rPr>
                <w:rFonts w:ascii="Arial" w:cs="Arial" w:eastAsia="Arial" w:hAnsi="Arial"/>
                <w:sz w:val="18"/>
                <w:szCs w:val="18"/>
                <w:b w:val="1"/>
                <w:bCs w:val="1"/>
                <w:color w:val="auto"/>
              </w:rPr>
              <w:t>28277</w:t>
            </w:r>
          </w:p>
        </w:tc>
        <w:tc>
          <w:tcPr>
            <w:tcW w:w="360" w:type="dxa"/>
            <w:vAlign w:val="bottom"/>
          </w:tcPr>
          <w:p>
            <w:pPr>
              <w:spacing w:after="0"/>
              <w:rPr>
                <w:sz w:val="19"/>
                <w:szCs w:val="19"/>
                <w:color w:val="auto"/>
              </w:rPr>
            </w:pPr>
          </w:p>
        </w:tc>
      </w:tr>
      <w:tr>
        <w:trPr>
          <w:trHeight w:val="186"/>
        </w:trPr>
        <w:tc>
          <w:tcPr>
            <w:tcW w:w="4060" w:type="dxa"/>
            <w:vAlign w:val="bottom"/>
            <w:gridSpan w:val="3"/>
          </w:tcPr>
          <w:p>
            <w:pPr>
              <w:jc w:val="center"/>
              <w:ind w:right="147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700" w:type="dxa"/>
            <w:vAlign w:val="bottom"/>
          </w:tcPr>
          <w:p>
            <w:pPr>
              <w:spacing w:after="0"/>
              <w:rPr>
                <w:sz w:val="24"/>
                <w:szCs w:val="24"/>
                <w:color w:val="auto"/>
              </w:rPr>
            </w:pPr>
          </w:p>
        </w:tc>
        <w:tc>
          <w:tcPr>
            <w:tcW w:w="7340" w:type="dxa"/>
            <w:vAlign w:val="bottom"/>
            <w:gridSpan w:val="5"/>
          </w:tcPr>
          <w:p>
            <w:pPr>
              <w:ind w:left="108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69"/>
        </w:trPr>
        <w:tc>
          <w:tcPr>
            <w:tcW w:w="700" w:type="dxa"/>
            <w:vAlign w:val="bottom"/>
          </w:tcPr>
          <w:p>
            <w:pPr>
              <w:spacing w:after="0"/>
              <w:rPr>
                <w:sz w:val="24"/>
                <w:szCs w:val="24"/>
                <w:color w:val="auto"/>
              </w:rPr>
            </w:pPr>
          </w:p>
        </w:tc>
        <w:tc>
          <w:tcPr>
            <w:tcW w:w="3360" w:type="dxa"/>
            <w:vAlign w:val="bottom"/>
            <w:gridSpan w:val="2"/>
          </w:tcPr>
          <w:p>
            <w:pPr>
              <w:jc w:val="center"/>
              <w:ind w:right="2150"/>
              <w:spacing w:after="0"/>
              <w:rPr>
                <w:sz w:val="20"/>
                <w:szCs w:val="20"/>
                <w:color w:val="auto"/>
              </w:rPr>
            </w:pPr>
            <w:r>
              <w:rPr>
                <w:rFonts w:ascii="Arial" w:cs="Arial" w:eastAsia="Arial" w:hAnsi="Arial"/>
                <w:sz w:val="14"/>
                <w:szCs w:val="14"/>
                <w:b w:val="1"/>
                <w:bCs w:val="1"/>
                <w:color w:val="auto"/>
                <w:w w:val="89"/>
              </w:rPr>
              <w:t>Title of each class</w:t>
            </w:r>
          </w:p>
        </w:tc>
        <w:tc>
          <w:tcPr>
            <w:tcW w:w="3980" w:type="dxa"/>
            <w:vAlign w:val="bottom"/>
            <w:gridSpan w:val="3"/>
          </w:tcPr>
          <w:p>
            <w:pPr>
              <w:jc w:val="center"/>
              <w:ind w:left="1455"/>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700" w:type="dxa"/>
            <w:vAlign w:val="bottom"/>
          </w:tcPr>
          <w:p>
            <w:pPr>
              <w:spacing w:after="0"/>
              <w:rPr>
                <w:sz w:val="14"/>
                <w:szCs w:val="14"/>
                <w:color w:val="auto"/>
              </w:rPr>
            </w:pPr>
          </w:p>
        </w:tc>
        <w:tc>
          <w:tcPr>
            <w:tcW w:w="3360" w:type="dxa"/>
            <w:vAlign w:val="bottom"/>
            <w:gridSpan w:val="2"/>
          </w:tcPr>
          <w:p>
            <w:pPr>
              <w:jc w:val="center"/>
              <w:ind w:right="2150"/>
              <w:spacing w:after="0"/>
              <w:rPr>
                <w:sz w:val="20"/>
                <w:szCs w:val="20"/>
                <w:color w:val="auto"/>
              </w:rPr>
            </w:pPr>
            <w:r>
              <w:rPr>
                <w:rFonts w:ascii="Arial" w:cs="Arial" w:eastAsia="Arial" w:hAnsi="Arial"/>
                <w:sz w:val="14"/>
                <w:szCs w:val="14"/>
                <w:b w:val="1"/>
                <w:bCs w:val="1"/>
                <w:color w:val="auto"/>
                <w:w w:val="89"/>
              </w:rPr>
              <w:t>to be so registered</w:t>
            </w:r>
          </w:p>
        </w:tc>
        <w:tc>
          <w:tcPr>
            <w:tcW w:w="1900" w:type="dxa"/>
            <w:vAlign w:val="bottom"/>
          </w:tcPr>
          <w:p>
            <w:pPr>
              <w:spacing w:after="0"/>
              <w:rPr>
                <w:sz w:val="14"/>
                <w:szCs w:val="14"/>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w w:val="84"/>
              </w:rPr>
              <w:t>Preferred</w:t>
            </w:r>
          </w:p>
        </w:tc>
        <w:tc>
          <w:tcPr>
            <w:tcW w:w="11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5"/>
              </w:rPr>
              <w:t>Stock Purchase</w:t>
            </w:r>
          </w:p>
        </w:tc>
        <w:tc>
          <w:tcPr>
            <w:tcW w:w="2240" w:type="dxa"/>
            <w:vAlign w:val="bottom"/>
          </w:tcPr>
          <w:p>
            <w:pPr>
              <w:ind w:left="200"/>
              <w:spacing w:after="0"/>
              <w:rPr>
                <w:sz w:val="20"/>
                <w:szCs w:val="20"/>
                <w:color w:val="auto"/>
              </w:rPr>
            </w:pPr>
            <w:r>
              <w:rPr>
                <w:rFonts w:ascii="Arial" w:cs="Arial" w:eastAsia="Arial" w:hAnsi="Arial"/>
                <w:sz w:val="18"/>
                <w:szCs w:val="18"/>
                <w:b w:val="1"/>
                <w:bCs w:val="1"/>
                <w:color w:val="auto"/>
              </w:rPr>
              <w:t>Rights</w:t>
            </w:r>
          </w:p>
        </w:tc>
        <w:tc>
          <w:tcPr>
            <w:tcW w:w="1900" w:type="dxa"/>
            <w:vAlign w:val="bottom"/>
          </w:tcPr>
          <w:p>
            <w:pPr>
              <w:ind w:left="154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Not Applicable</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Arial" w:cs="Arial" w:eastAsia="Arial" w:hAnsi="Arial"/>
          <w:sz w:val="17"/>
          <w:szCs w:val="17"/>
          <w:b w:val="1"/>
          <w:bCs w:val="1"/>
          <w:color w:val="auto"/>
        </w:rPr>
        <w:t>DESCRIPTION OF REGISTRANT’S SECURITIES TO BE REGISTERED.</w:t>
      </w:r>
    </w:p>
    <w:p>
      <w:pPr>
        <w:spacing w:after="0" w:line="1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On April 15, 2020, the Board of Directors of NN, Inc. (the “</w:t>
      </w:r>
      <w:r>
        <w:rPr>
          <w:rFonts w:ascii="Arial" w:cs="Arial" w:eastAsia="Arial" w:hAnsi="Arial"/>
          <w:sz w:val="18"/>
          <w:szCs w:val="18"/>
          <w:u w:val="single" w:color="auto"/>
          <w:color w:val="auto"/>
        </w:rPr>
        <w:t>Company</w:t>
      </w:r>
      <w:r>
        <w:rPr>
          <w:rFonts w:ascii="Arial" w:cs="Arial" w:eastAsia="Arial" w:hAnsi="Arial"/>
          <w:sz w:val="18"/>
          <w:szCs w:val="18"/>
          <w:color w:val="auto"/>
        </w:rPr>
        <w:t>”), authorized and declared a dividend of one preferred share purchase right (a “</w:t>
      </w:r>
      <w:r>
        <w:rPr>
          <w:rFonts w:ascii="Arial" w:cs="Arial" w:eastAsia="Arial" w:hAnsi="Arial"/>
          <w:sz w:val="18"/>
          <w:szCs w:val="18"/>
          <w:u w:val="single" w:color="auto"/>
          <w:color w:val="auto"/>
        </w:rPr>
        <w:t>Right</w:t>
      </w:r>
      <w:r>
        <w:rPr>
          <w:rFonts w:ascii="Arial" w:cs="Arial" w:eastAsia="Arial" w:hAnsi="Arial"/>
          <w:sz w:val="18"/>
          <w:szCs w:val="18"/>
          <w:color w:val="auto"/>
        </w:rPr>
        <w:t>”) for each outstanding share of common stock, $0.01 par value per share, of the Company (the “</w:t>
      </w:r>
      <w:r>
        <w:rPr>
          <w:rFonts w:ascii="Arial" w:cs="Arial" w:eastAsia="Arial" w:hAnsi="Arial"/>
          <w:sz w:val="18"/>
          <w:szCs w:val="18"/>
          <w:u w:val="single" w:color="auto"/>
          <w:color w:val="auto"/>
        </w:rPr>
        <w:t>Common Shares</w:t>
      </w:r>
      <w:r>
        <w:rPr>
          <w:rFonts w:ascii="Arial" w:cs="Arial" w:eastAsia="Arial" w:hAnsi="Arial"/>
          <w:sz w:val="18"/>
          <w:szCs w:val="18"/>
          <w:color w:val="auto"/>
        </w:rPr>
        <w:t>”) to stockholders of record at the close of business on April 27, 2020 (the “</w:t>
      </w:r>
      <w:r>
        <w:rPr>
          <w:rFonts w:ascii="Arial" w:cs="Arial" w:eastAsia="Arial" w:hAnsi="Arial"/>
          <w:sz w:val="18"/>
          <w:szCs w:val="18"/>
          <w:u w:val="single" w:color="auto"/>
          <w:color w:val="auto"/>
        </w:rPr>
        <w:t>Record Date</w:t>
      </w:r>
      <w:r>
        <w:rPr>
          <w:rFonts w:ascii="Arial" w:cs="Arial" w:eastAsia="Arial" w:hAnsi="Arial"/>
          <w:sz w:val="18"/>
          <w:szCs w:val="18"/>
          <w:color w:val="auto"/>
        </w:rPr>
        <w:t>”). Except as set forth below, each Right, if it becomes exercisable, entitles the registered holder to purchase from the Company one one-thousandth of a share of Series C Junior Participating Preferred Stock, $0.01 par value per share, of the Company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at a purchase price of $31.50 per one one-thousandth of a Preferred Share, subject to adjustment as provided in the Rights Agreement. In addition, one Right will automatically attach to each Common Share that becomes outstanding between the Record Date and the earliest of the Distribution Date (as defined in the Rights Agreement), the redemption of the Rights or the expiration of the Rights. The complete terms of the Rights are set forth in a Rights Agreement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dated as of April 15, 2020, between the Company and Computershare Inc., as rights agent.</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complete terms of the Rights are set forth in the Rights Agreement and the rights, powers and preferences of the Preferred Shares are set forth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Certificate of Designations of Series C Junior Participating Preferred Stock (the “</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which documents are attached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hereto as Exhibits 4.1 and 3.1, respectively, and incorporated herein by reference. The Certificate of Designations was filed by the Company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Secretary of State of the State of Delaware on April 16, 2020. The description of the Rights is incorporated herein by reference to the description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forth under Items 1.01, 3.03 and 5.03 of the Company’s Current Report on Form 8-K, filed with the U.S.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on April 16, 2020, and is qualified in its entirety by reference to the full text of the Rights Agreement and Certificate of Designations.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80" w:type="dxa"/>
            <w:vAlign w:val="bottom"/>
            <w:gridSpan w:val="6"/>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440" w:type="dxa"/>
            <w:vAlign w:val="bottom"/>
            <w:gridSpan w:val="3"/>
          </w:tcPr>
          <w:p>
            <w:pPr>
              <w:spacing w:after="0"/>
              <w:rPr>
                <w:sz w:val="24"/>
                <w:szCs w:val="24"/>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3"/>
                <w:szCs w:val="23"/>
                <w:color w:val="auto"/>
              </w:rPr>
            </w:pPr>
          </w:p>
        </w:tc>
        <w:tc>
          <w:tcPr>
            <w:tcW w:w="9460" w:type="dxa"/>
            <w:vAlign w:val="bottom"/>
            <w:tcBorders>
              <w:bottom w:val="single" w:sz="8" w:color="0000EE"/>
            </w:tcBorders>
            <w:gridSpan w:val="5"/>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Certificate of Designations of Series C Junior Participating Preferred Stock of NN, Inc. (incorporated by reference to Exhibit 3.1 to</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the Company’s Current Report on Form 8-K filed on April 16, 2020).</w:t>
              </w:r>
            </w:hyperlink>
          </w:p>
        </w:tc>
        <w:tc>
          <w:tcPr>
            <w:tcW w:w="444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4"/>
                <w:szCs w:val="24"/>
                <w:color w:val="auto"/>
              </w:rPr>
            </w:pPr>
          </w:p>
        </w:tc>
        <w:tc>
          <w:tcPr>
            <w:tcW w:w="9460" w:type="dxa"/>
            <w:vAlign w:val="bottom"/>
            <w:gridSpan w:val="5"/>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Rights Agreement, dated as of April 15, 2020, between NN, Inc. and Computershare Inc., as Rights Agent (incorporated by</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reference to Exhibit 4.1 to the Company’s Current Report on Form 8-K filed on April 16, 2020).</w:t>
              </w:r>
            </w:hyperlink>
          </w:p>
        </w:tc>
        <w:tc>
          <w:tcPr>
            <w:tcW w:w="20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S. Heiter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19" Type="http://schemas.openxmlformats.org/officeDocument/2006/relationships/hyperlink" Target="http://www.sec.gov/Archives/edgar/data/918541/000119312520108738/d852780dex31.htm" TargetMode="External"/><Relationship Id="rId20" Type="http://schemas.openxmlformats.org/officeDocument/2006/relationships/hyperlink" Target="http://www.sec.gov/Archives/edgar/data/918541/000119312520108738/d85278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2020-04-16T08:10:56Z</dcterms:created>
  <dcterms:modified xsi:type="dcterms:W3CDTF">2020-04-16T08:10:56Z</dcterms:modified>
</cp:coreProperties>
</file>