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840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84009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NIXON D. GAIL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08/10/2017</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160"/>
              <w:spacing w:after="0"/>
              <w:rPr>
                <w:sz w:val="20"/>
                <w:szCs w:val="20"/>
                <w:color w:val="auto"/>
              </w:rPr>
            </w:pPr>
            <w:r>
              <w:rPr>
                <w:rFonts w:ascii="Arial" w:cs="Arial" w:eastAsia="Arial" w:hAnsi="Arial"/>
                <w:sz w:val="14"/>
                <w:szCs w:val="14"/>
                <w:color w:val="auto"/>
              </w:rPr>
              <w:t>(First)</w:t>
            </w:r>
          </w:p>
        </w:tc>
        <w:tc>
          <w:tcPr>
            <w:tcW w:w="1100" w:type="dxa"/>
            <w:vAlign w:val="bottom"/>
          </w:tcPr>
          <w:p>
            <w:pPr>
              <w:ind w:left="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0000FF"/>
                <w:w w:val="97"/>
              </w:rPr>
              <w:t>207 MOCKINGBIRD LANE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118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11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6"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212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20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70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200" w:type="dxa"/>
            <w:vAlign w:val="bottom"/>
          </w:tcPr>
          <w:p>
            <w:pPr>
              <w:ind w:left="4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70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70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200" w:type="dxa"/>
            <w:vAlign w:val="bottom"/>
            <w:vMerge w:val="restart"/>
          </w:tcPr>
          <w:p>
            <w:pPr>
              <w:ind w:left="4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700" w:type="dxa"/>
            <w:vAlign w:val="bottom"/>
            <w:vMerge w:val="restart"/>
          </w:tcPr>
          <w:p>
            <w:pPr>
              <w:ind w:left="740"/>
              <w:spacing w:after="0"/>
              <w:rPr>
                <w:sz w:val="20"/>
                <w:szCs w:val="20"/>
                <w:color w:val="auto"/>
              </w:rPr>
            </w:pPr>
            <w:r>
              <w:rPr>
                <w:rFonts w:ascii="Arial" w:cs="Arial" w:eastAsia="Arial" w:hAnsi="Arial"/>
                <w:sz w:val="18"/>
                <w:szCs w:val="18"/>
                <w:color w:val="0000FF"/>
                <w:w w:val="86"/>
              </w:rPr>
              <w:t>See Remarks</w:t>
            </w:r>
          </w:p>
        </w:tc>
        <w:tc>
          <w:tcPr>
            <w:tcW w:w="120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170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6"/>
        <w:spacing w:after="0"/>
        <w:rPr>
          <w:sz w:val="20"/>
          <w:szCs w:val="20"/>
          <w:color w:val="auto"/>
        </w:rPr>
      </w:pPr>
      <w:r>
        <w:rPr>
          <w:rFonts w:ascii="Arial" w:cs="Arial" w:eastAsia="Arial" w:hAnsi="Arial"/>
          <w:sz w:val="14"/>
          <w:szCs w:val="14"/>
          <w:color w:val="auto"/>
        </w:rPr>
        <w:t>Form filed by More than One</w:t>
      </w:r>
    </w:p>
    <w:p>
      <w:pPr>
        <w:ind w:left="3886"/>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74"/>
            <w:col w:w="6226"/>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00"/>
              <w:spacing w:after="0"/>
              <w:rPr>
                <w:sz w:val="20"/>
                <w:szCs w:val="20"/>
                <w:color w:val="auto"/>
              </w:rPr>
            </w:pPr>
            <w:r>
              <w:rPr>
                <w:rFonts w:ascii="Arial" w:cs="Arial" w:eastAsia="Arial" w:hAnsi="Arial"/>
                <w:sz w:val="18"/>
                <w:szCs w:val="18"/>
                <w:color w:val="0000FF"/>
              </w:rPr>
              <w:t>15,775</w:t>
            </w:r>
          </w:p>
        </w:tc>
        <w:tc>
          <w:tcPr>
            <w:tcW w:w="880" w:type="dxa"/>
            <w:vAlign w:val="bottom"/>
          </w:tcPr>
          <w:p>
            <w:pPr>
              <w:ind w:left="62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05/26/2021</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9"/>
              <w:spacing w:after="0"/>
              <w:rPr>
                <w:sz w:val="20"/>
                <w:szCs w:val="20"/>
                <w:color w:val="auto"/>
              </w:rPr>
            </w:pPr>
            <w:r>
              <w:rPr>
                <w:rFonts w:ascii="Arial" w:cs="Arial" w:eastAsia="Arial" w:hAnsi="Arial"/>
                <w:sz w:val="18"/>
                <w:szCs w:val="18"/>
                <w:color w:val="0000FF"/>
                <w:w w:val="88"/>
              </w:rPr>
              <w:t>6,000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14.13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03/21/2022</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9"/>
              <w:spacing w:after="0"/>
              <w:rPr>
                <w:sz w:val="20"/>
                <w:szCs w:val="20"/>
                <w:color w:val="auto"/>
              </w:rPr>
            </w:pPr>
            <w:r>
              <w:rPr>
                <w:rFonts w:ascii="Arial" w:cs="Arial" w:eastAsia="Arial" w:hAnsi="Arial"/>
                <w:sz w:val="18"/>
                <w:szCs w:val="18"/>
                <w:color w:val="0000FF"/>
                <w:w w:val="88"/>
              </w:rPr>
              <w:t>7,300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8.86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03/25/2023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9"/>
              <w:spacing w:after="0"/>
              <w:rPr>
                <w:sz w:val="20"/>
                <w:szCs w:val="20"/>
                <w:color w:val="auto"/>
              </w:rPr>
            </w:pPr>
            <w:r>
              <w:rPr>
                <w:rFonts w:ascii="Arial" w:cs="Arial" w:eastAsia="Arial" w:hAnsi="Arial"/>
                <w:sz w:val="18"/>
                <w:szCs w:val="18"/>
                <w:color w:val="0000FF"/>
                <w:w w:val="88"/>
              </w:rPr>
              <w:t>8,000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9.97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03/19/2024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9"/>
              <w:spacing w:after="0"/>
              <w:rPr>
                <w:sz w:val="20"/>
                <w:szCs w:val="20"/>
                <w:color w:val="auto"/>
              </w:rPr>
            </w:pPr>
            <w:r>
              <w:rPr>
                <w:rFonts w:ascii="Arial" w:cs="Arial" w:eastAsia="Arial" w:hAnsi="Arial"/>
                <w:sz w:val="18"/>
                <w:szCs w:val="18"/>
                <w:color w:val="0000FF"/>
                <w:w w:val="88"/>
              </w:rPr>
              <w:t>2,000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19.63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03/17/2027</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9"/>
              <w:spacing w:after="0"/>
              <w:rPr>
                <w:sz w:val="20"/>
                <w:szCs w:val="20"/>
                <w:color w:val="auto"/>
              </w:rPr>
            </w:pPr>
            <w:r>
              <w:rPr>
                <w:rFonts w:ascii="Arial" w:cs="Arial" w:eastAsia="Arial" w:hAnsi="Arial"/>
                <w:sz w:val="18"/>
                <w:szCs w:val="18"/>
                <w:color w:val="0000FF"/>
                <w:w w:val="87"/>
              </w:rPr>
              <w:t>13,200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24.2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Performance Rights</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9"/>
              <w:spacing w:after="0"/>
              <w:rPr>
                <w:sz w:val="20"/>
                <w:szCs w:val="20"/>
                <w:color w:val="auto"/>
              </w:rPr>
            </w:pPr>
            <w:r>
              <w:rPr>
                <w:rFonts w:ascii="Arial" w:cs="Arial" w:eastAsia="Arial" w:hAnsi="Arial"/>
                <w:sz w:val="18"/>
                <w:szCs w:val="18"/>
                <w:color w:val="0000FF"/>
                <w:w w:val="88"/>
              </w:rPr>
              <w:t>1,335</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Performance Rights</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9"/>
              <w:spacing w:after="0"/>
              <w:rPr>
                <w:sz w:val="20"/>
                <w:szCs w:val="20"/>
                <w:color w:val="auto"/>
              </w:rPr>
            </w:pPr>
            <w:r>
              <w:rPr>
                <w:rFonts w:ascii="Arial" w:cs="Arial" w:eastAsia="Arial" w:hAnsi="Arial"/>
                <w:sz w:val="18"/>
                <w:szCs w:val="18"/>
                <w:color w:val="0000FF"/>
                <w:w w:val="88"/>
              </w:rPr>
              <w:t>3,645</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Performance Rights</w:t>
            </w:r>
          </w:p>
        </w:tc>
        <w:tc>
          <w:tcPr>
            <w:tcW w:w="158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880" w:type="dxa"/>
            <w:vAlign w:val="bottom"/>
          </w:tcPr>
          <w:p>
            <w:pPr>
              <w:jc w:val="center"/>
              <w:ind w:left="119"/>
              <w:spacing w:after="0"/>
              <w:rPr>
                <w:sz w:val="20"/>
                <w:szCs w:val="20"/>
                <w:color w:val="auto"/>
              </w:rPr>
            </w:pPr>
            <w:r>
              <w:rPr>
                <w:rFonts w:ascii="Arial" w:cs="Arial" w:eastAsia="Arial" w:hAnsi="Arial"/>
                <w:sz w:val="18"/>
                <w:szCs w:val="18"/>
                <w:color w:val="0000FF"/>
                <w:w w:val="88"/>
              </w:rPr>
              <w:t>1,579</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underlying this option are immediately exercisable.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underlying this option vest and become exercisable in three equal annual installments beginning on the first anniversary of the grant date, March 17, 2017.</w:t>
      </w:r>
    </w:p>
    <w:p>
      <w:pPr>
        <w:spacing w:after="0" w:line="41" w:lineRule="exact"/>
        <w:rPr>
          <w:rFonts w:ascii="Arial" w:cs="Arial" w:eastAsia="Arial" w:hAnsi="Arial"/>
          <w:sz w:val="14"/>
          <w:szCs w:val="14"/>
          <w:color w:val="008000"/>
        </w:rPr>
      </w:pPr>
    </w:p>
    <w:p>
      <w:pPr>
        <w:jc w:val="both"/>
        <w:ind w:left="40" w:right="1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vesting of the performance rights is based on the relative total shareholder return ("TSR") of NN, Inc. (the "Issuer"), as compared to the TSR of the S&amp;P SmallCap 600 Index over the period beginning on February 1, 2015 and ending December 31, 2017. The Performance rights will vest on December 31, 2017 subject to the reporting person's continuous employment through December 31, 2017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30, 2017 expire automatically.</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performance right represents a contingent right to receive one share of common stock of the Issuer.</w:t>
      </w:r>
    </w:p>
    <w:p>
      <w:pPr>
        <w:spacing w:after="0" w:line="41" w:lineRule="exact"/>
        <w:rPr>
          <w:rFonts w:ascii="Arial" w:cs="Arial" w:eastAsia="Arial" w:hAnsi="Arial"/>
          <w:sz w:val="14"/>
          <w:szCs w:val="14"/>
          <w:color w:val="008000"/>
        </w:rPr>
      </w:pPr>
    </w:p>
    <w:p>
      <w:pPr>
        <w:ind w:left="40" w:right="1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vesting of the performance rights is based on the relative TSR of the Issuer, as compared to the TSR of the S&amp;P SmallCap 600 Index over the period beginning on January 1, 2016 and ending December 31, 2018. The Performance rights will vest on December 31, 2018 subject to the reporting person's continuous employment through December 31, 2018 and subject to certain conditions as set forth in the Issuer's 2011 Stock Incentive Plan. Performance rights granted represent the right to receive the target shares, and actual performance rights earned may be between 50% and 150% of the target shares. Performance rights that do not vest on December 31, 2018 expire automatically.</w:t>
      </w:r>
    </w:p>
    <w:p>
      <w:pPr>
        <w:spacing w:after="0" w:line="31" w:lineRule="exact"/>
        <w:rPr>
          <w:rFonts w:ascii="Arial" w:cs="Arial" w:eastAsia="Arial" w:hAnsi="Arial"/>
          <w:sz w:val="14"/>
          <w:szCs w:val="14"/>
          <w:color w:val="008000"/>
        </w:rPr>
      </w:pPr>
    </w:p>
    <w:p>
      <w:pPr>
        <w:ind w:left="40" w:right="1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vesting of the performance rights is based on the relative TSR of the Issuer, as compared to the TSR of the S&amp;P SmallCap 600 Index over the period beginning on January 1, 2017 and ending December 31, 2019. The performance rights will vest on December 31, 2019 subject to the reporting person's continuous employment through December 31, 2019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2019 expire automatically.</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 Human Resources Power of Attorney is attached to this Form 3 as Exhibit 24.</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Richard F. Mattern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08/21/2017</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ind w:left="3280"/>
        <w:spacing w:after="0" w:line="238" w:lineRule="auto"/>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Richard D. Holder, Matthew S. Heiter, Thomas C. Burwell, Jr., J. Robert Atkinson, Richard F. Mattern and Kristin C. Dunavant, with full power of substitution, the undersigned's true and lawful attorney-in-fact to:</w:t>
      </w:r>
    </w:p>
    <w:p>
      <w:pPr>
        <w:spacing w:after="0" w:line="207" w:lineRule="exact"/>
        <w:rPr>
          <w:sz w:val="20"/>
          <w:szCs w:val="20"/>
          <w:color w:val="auto"/>
        </w:rPr>
      </w:pPr>
    </w:p>
    <w:p>
      <w:pPr>
        <w:ind w:left="1280" w:right="1879" w:hanging="429"/>
        <w:spacing w:after="0" w:line="271" w:lineRule="auto"/>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7" w:lineRule="exact"/>
        <w:rPr>
          <w:rFonts w:ascii="Courier New" w:cs="Courier New" w:eastAsia="Courier New" w:hAnsi="Courier New"/>
          <w:sz w:val="16"/>
          <w:szCs w:val="16"/>
          <w:color w:val="auto"/>
        </w:rPr>
      </w:pPr>
    </w:p>
    <w:p>
      <w:pPr>
        <w:ind w:left="1280" w:right="1779" w:hanging="429"/>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1280" w:right="1779" w:hanging="429"/>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1280" w:right="1779" w:hanging="429"/>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28th day of July, 2017.</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D. Gail Nixon</w:t>
      </w:r>
    </w:p>
    <w:p>
      <w:pPr>
        <w:ind w:left="422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13507"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2019-12-23T15:51:59Z</dcterms:created>
  <dcterms:modified xsi:type="dcterms:W3CDTF">2019-12-23T15:51:59Z</dcterms:modified>
</cp:coreProperties>
</file>